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DE1A9C" w:rsidRDefault="002856BD" w:rsidP="00366996">
      <w:pPr>
        <w:ind w:right="-1"/>
        <w:jc w:val="both"/>
      </w:pPr>
      <w:r>
        <w:t>Karar No:</w:t>
      </w:r>
      <w:r w:rsidR="001C62FC">
        <w:t xml:space="preserve"> </w:t>
      </w:r>
      <w:r w:rsidR="002E5F2F">
        <w:t>1</w:t>
      </w:r>
      <w:r w:rsidR="00D73330">
        <w:t>8</w:t>
      </w:r>
      <w:r w:rsidR="00DE1A9C">
        <w:t>06</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366996">
        <w:t xml:space="preserve">       </w:t>
      </w:r>
      <w:r w:rsidR="009C2AD6">
        <w:t>1</w:t>
      </w:r>
      <w:r w:rsidR="00D73330">
        <w:t>6</w:t>
      </w:r>
      <w:r w:rsidR="002864AA">
        <w:t>.</w:t>
      </w:r>
      <w:r w:rsidR="00DC0108">
        <w:t>0</w:t>
      </w:r>
      <w:r w:rsidR="00D73330">
        <w:t>9</w:t>
      </w:r>
      <w:r w:rsidR="00AE2FD0">
        <w:t>.2022</w:t>
      </w:r>
    </w:p>
    <w:p w:rsidR="004A7B38" w:rsidRDefault="004A7B38" w:rsidP="009105F3">
      <w:pPr>
        <w:ind w:right="-1"/>
        <w:jc w:val="center"/>
      </w:pPr>
    </w:p>
    <w:p w:rsidR="00DE1A9C" w:rsidRDefault="00DE1A9C" w:rsidP="009105F3">
      <w:pPr>
        <w:ind w:right="-1"/>
        <w:jc w:val="center"/>
      </w:pPr>
    </w:p>
    <w:p w:rsidR="002856BD" w:rsidRDefault="002856BD" w:rsidP="009105F3">
      <w:pPr>
        <w:ind w:right="-1"/>
        <w:jc w:val="center"/>
      </w:pPr>
      <w:r>
        <w:t>K A R A R</w:t>
      </w:r>
    </w:p>
    <w:p w:rsidR="00DE1A9C" w:rsidRDefault="00DE1A9C" w:rsidP="009105F3">
      <w:pPr>
        <w:ind w:right="-1"/>
        <w:jc w:val="center"/>
      </w:pPr>
    </w:p>
    <w:p w:rsidR="009C2AD6" w:rsidRDefault="009C2AD6" w:rsidP="009105F3">
      <w:pPr>
        <w:ind w:right="-1"/>
        <w:jc w:val="center"/>
      </w:pPr>
    </w:p>
    <w:p w:rsidR="00036310" w:rsidRDefault="00036310" w:rsidP="00CA298C">
      <w:pPr>
        <w:ind w:right="543"/>
      </w:pPr>
    </w:p>
    <w:p w:rsidR="009C2AD6" w:rsidRDefault="00DE1A9C" w:rsidP="00DE1A9C">
      <w:pPr>
        <w:ind w:firstLine="709"/>
        <w:jc w:val="both"/>
      </w:pPr>
      <w:r>
        <w:t>Mamak Belediyesinin 2022 mali yılı bütçesinde birimler arası ödenek aktarımına</w:t>
      </w:r>
      <w:r w:rsidR="00366996">
        <w:t xml:space="preserve"> </w:t>
      </w:r>
      <w:r w:rsidR="00366996" w:rsidRPr="003425C7">
        <w:t xml:space="preserve">ilişkin </w:t>
      </w:r>
      <w:r w:rsidR="00366996">
        <w:t xml:space="preserve">Plan ve Bütçe Komisyonunun 14.09.2022 tarihli ve </w:t>
      </w:r>
      <w:r>
        <w:t>74</w:t>
      </w:r>
      <w:r w:rsidR="00366996">
        <w:t xml:space="preserve"> sayılı Raporu</w:t>
      </w:r>
      <w:r w:rsidR="00953D18" w:rsidRPr="00953D18">
        <w:t xml:space="preserve"> Büyükşehir Belediye Meclisimizin </w:t>
      </w:r>
      <w:r w:rsidR="009C2AD6">
        <w:t>1</w:t>
      </w:r>
      <w:r w:rsidR="00D73330">
        <w:t>6</w:t>
      </w:r>
      <w:r w:rsidR="00CA298C">
        <w:t>.0</w:t>
      </w:r>
      <w:r w:rsidR="00D73330">
        <w:t>9</w:t>
      </w:r>
      <w:r w:rsidR="002C089C">
        <w:t>.2022</w:t>
      </w:r>
      <w:r w:rsidR="00953D18" w:rsidRPr="00953D18">
        <w:t xml:space="preserve"> tarihli toplantısında okundu.</w:t>
      </w:r>
    </w:p>
    <w:p w:rsidR="009C2AD6" w:rsidRDefault="009C2AD6" w:rsidP="00DE1A9C">
      <w:pPr>
        <w:ind w:firstLine="709"/>
        <w:jc w:val="both"/>
      </w:pPr>
    </w:p>
    <w:p w:rsidR="00DE1A9C" w:rsidRDefault="00953D18" w:rsidP="00DE1A9C">
      <w:pPr>
        <w:ind w:firstLine="709"/>
        <w:jc w:val="both"/>
      </w:pPr>
      <w:r w:rsidRPr="00EC5E78">
        <w:t>Konu üzerinde yapılan görüşmelerden sonra;</w:t>
      </w:r>
      <w:r w:rsidR="008B77F2">
        <w:t xml:space="preserve"> </w:t>
      </w:r>
      <w:r w:rsidR="00DE1A9C">
        <w:t xml:space="preserve">Mamak Belediyesi 2022 yılı tahmini bütçesinden ayrılan </w:t>
      </w:r>
      <w:proofErr w:type="gramStart"/>
      <w:r w:rsidR="00DE1A9C">
        <w:t>06.1</w:t>
      </w:r>
      <w:proofErr w:type="gramEnd"/>
      <w:r w:rsidR="00DE1A9C">
        <w:t xml:space="preserve"> Fen İşleri Müdürlüğü, 03.5Destek Hizmetleri Müdürlüğü, 06.5Çevre Koruma Müdürlüğü, 03.5Destek Hizmetleri Müdürlüğü Giderlerine ait ödeneklerin </w:t>
      </w:r>
      <w:r w:rsidR="00DE1A9C">
        <w:rPr>
          <w:b/>
        </w:rPr>
        <w:t>yetersiz kaldığı</w:t>
      </w:r>
      <w:r w:rsidR="00DE1A9C">
        <w:t xml:space="preserve">, </w:t>
      </w:r>
      <w:proofErr w:type="spellStart"/>
      <w:r w:rsidR="00DE1A9C">
        <w:t>İnovasyon</w:t>
      </w:r>
      <w:proofErr w:type="spellEnd"/>
      <w:r w:rsidR="00DE1A9C">
        <w:t xml:space="preserve"> ve Teknoloji Müdürlüğü, Çevre Koruma Müdürlüğü, Gençlik ve Spor Hizmetleri Müdürlüğü Hizmet Alımları Giderlerine ait harcama kalemlerinde </w:t>
      </w:r>
      <w:r w:rsidR="00DE1A9C">
        <w:rPr>
          <w:b/>
        </w:rPr>
        <w:t>ödenek fazlasının olduğu</w:t>
      </w:r>
      <w:r w:rsidR="00DE1A9C">
        <w:t xml:space="preserve"> tespit edilerek, bahse konu harcama kalemlerine </w:t>
      </w:r>
      <w:r w:rsidR="00DE1A9C">
        <w:rPr>
          <w:b/>
        </w:rPr>
        <w:t xml:space="preserve">ödenek aktarılmasının yapılması </w:t>
      </w:r>
      <w:r w:rsidR="00DE1A9C">
        <w:t>istenilmektedir.</w:t>
      </w:r>
    </w:p>
    <w:p w:rsidR="00DE1A9C" w:rsidRDefault="00DE1A9C" w:rsidP="00DE1A9C">
      <w:pPr>
        <w:pStyle w:val="ListeParagraf"/>
        <w:tabs>
          <w:tab w:val="num" w:pos="709"/>
        </w:tabs>
        <w:ind w:left="0" w:firstLine="709"/>
        <w:contextualSpacing/>
        <w:jc w:val="both"/>
      </w:pPr>
    </w:p>
    <w:p w:rsidR="00DE1A9C" w:rsidRDefault="00DE1A9C" w:rsidP="00DE1A9C">
      <w:pPr>
        <w:pStyle w:val="ListeParagraf"/>
        <w:tabs>
          <w:tab w:val="num" w:pos="709"/>
        </w:tabs>
        <w:ind w:left="0" w:firstLine="709"/>
        <w:contextualSpacing/>
        <w:jc w:val="both"/>
      </w:pPr>
      <w:r>
        <w:t xml:space="preserve">Mahalli İdareler Bütçe ve Muhasebe Yönetmeliğinin 36. maddesi gereğince, Bütçede fonksiyonel sınıflandırmanın birinci düzeyleri arasındaki </w:t>
      </w:r>
      <w:proofErr w:type="spellStart"/>
      <w:r>
        <w:t>aktarmalar</w:t>
      </w:r>
      <w:r>
        <w:rPr>
          <w:rStyle w:val="gvdemetnikaln"/>
          <w:rFonts w:eastAsia="Calibri"/>
          <w:bCs/>
        </w:rPr>
        <w:t>Meclis</w:t>
      </w:r>
      <w:proofErr w:type="spellEnd"/>
      <w:r>
        <w:rPr>
          <w:rStyle w:val="gvdemetnikaln"/>
          <w:rFonts w:eastAsia="Calibri"/>
          <w:bCs/>
        </w:rPr>
        <w:t xml:space="preserve"> Kararı</w:t>
      </w:r>
      <w:r>
        <w:t xml:space="preserve"> ile yapılacağı bildirilmektedir.</w:t>
      </w:r>
    </w:p>
    <w:p w:rsidR="00DE1A9C" w:rsidRDefault="00DE1A9C" w:rsidP="00DE1A9C">
      <w:pPr>
        <w:ind w:right="-2"/>
        <w:jc w:val="center"/>
      </w:pPr>
    </w:p>
    <w:tbl>
      <w:tblPr>
        <w:tblStyle w:val="TabloKlavuzu"/>
        <w:tblW w:w="0" w:type="auto"/>
        <w:tblLook w:val="04A0"/>
      </w:tblPr>
      <w:tblGrid>
        <w:gridCol w:w="1582"/>
        <w:gridCol w:w="1582"/>
        <w:gridCol w:w="1582"/>
        <w:gridCol w:w="1583"/>
        <w:gridCol w:w="1583"/>
        <w:gridCol w:w="1583"/>
      </w:tblGrid>
      <w:tr w:rsidR="00DE1A9C" w:rsidRPr="00AA5E3E" w:rsidTr="00E54210">
        <w:tc>
          <w:tcPr>
            <w:tcW w:w="1582" w:type="dxa"/>
          </w:tcPr>
          <w:p w:rsidR="00DE1A9C" w:rsidRPr="00AA5E3E" w:rsidRDefault="00DE1A9C" w:rsidP="00E54210">
            <w:pPr>
              <w:pStyle w:val="gvdemetni0"/>
              <w:spacing w:before="0" w:beforeAutospacing="0" w:after="0" w:afterAutospacing="0"/>
              <w:ind w:right="-2"/>
              <w:jc w:val="center"/>
              <w:rPr>
                <w:b/>
                <w:sz w:val="16"/>
                <w:szCs w:val="16"/>
              </w:rPr>
            </w:pPr>
            <w:r w:rsidRPr="00AA5E3E">
              <w:rPr>
                <w:b/>
                <w:sz w:val="16"/>
                <w:szCs w:val="16"/>
              </w:rPr>
              <w:t>AKTARMA YAPILACAK MÜDÜRLÜK</w:t>
            </w:r>
          </w:p>
        </w:tc>
        <w:tc>
          <w:tcPr>
            <w:tcW w:w="1582" w:type="dxa"/>
          </w:tcPr>
          <w:p w:rsidR="00DE1A9C" w:rsidRPr="00AA5E3E" w:rsidRDefault="00DE1A9C" w:rsidP="00E54210">
            <w:pPr>
              <w:pStyle w:val="gvdemetni0"/>
              <w:spacing w:before="0" w:beforeAutospacing="0" w:after="0" w:afterAutospacing="0"/>
              <w:ind w:right="-2"/>
              <w:jc w:val="center"/>
              <w:rPr>
                <w:b/>
                <w:sz w:val="16"/>
                <w:szCs w:val="16"/>
              </w:rPr>
            </w:pPr>
            <w:r w:rsidRPr="00AA5E3E">
              <w:rPr>
                <w:b/>
                <w:sz w:val="16"/>
                <w:szCs w:val="16"/>
              </w:rPr>
              <w:t>HARCAMA KALEMİ</w:t>
            </w:r>
          </w:p>
        </w:tc>
        <w:tc>
          <w:tcPr>
            <w:tcW w:w="1582" w:type="dxa"/>
          </w:tcPr>
          <w:p w:rsidR="00DE1A9C" w:rsidRPr="00AA5E3E" w:rsidRDefault="00DE1A9C" w:rsidP="00E54210">
            <w:pPr>
              <w:pStyle w:val="gvdemetni0"/>
              <w:spacing w:before="0" w:beforeAutospacing="0" w:after="0" w:afterAutospacing="0"/>
              <w:ind w:right="-2"/>
              <w:jc w:val="center"/>
              <w:rPr>
                <w:b/>
                <w:sz w:val="16"/>
                <w:szCs w:val="16"/>
              </w:rPr>
            </w:pPr>
            <w:r w:rsidRPr="00AA5E3E">
              <w:rPr>
                <w:b/>
                <w:sz w:val="16"/>
                <w:szCs w:val="16"/>
              </w:rPr>
              <w:t>ÖDENEK MİKTARI</w:t>
            </w:r>
          </w:p>
        </w:tc>
        <w:tc>
          <w:tcPr>
            <w:tcW w:w="1583" w:type="dxa"/>
          </w:tcPr>
          <w:p w:rsidR="00DE1A9C" w:rsidRPr="00AA5E3E" w:rsidRDefault="00DE1A9C" w:rsidP="00E54210">
            <w:pPr>
              <w:pStyle w:val="gvdemetni0"/>
              <w:spacing w:before="0" w:beforeAutospacing="0" w:after="0" w:afterAutospacing="0"/>
              <w:ind w:right="-2"/>
              <w:jc w:val="center"/>
              <w:rPr>
                <w:b/>
                <w:sz w:val="16"/>
                <w:szCs w:val="16"/>
              </w:rPr>
            </w:pPr>
            <w:r w:rsidRPr="00AA5E3E">
              <w:rPr>
                <w:b/>
                <w:sz w:val="16"/>
                <w:szCs w:val="16"/>
              </w:rPr>
              <w:t>AKTARMA YAPILAN MÜDÜRLÜK</w:t>
            </w:r>
          </w:p>
        </w:tc>
        <w:tc>
          <w:tcPr>
            <w:tcW w:w="1583" w:type="dxa"/>
          </w:tcPr>
          <w:p w:rsidR="00DE1A9C" w:rsidRPr="00AA5E3E" w:rsidRDefault="00DE1A9C" w:rsidP="00E54210">
            <w:pPr>
              <w:pStyle w:val="gvdemetni0"/>
              <w:spacing w:before="0" w:beforeAutospacing="0" w:after="0" w:afterAutospacing="0"/>
              <w:ind w:right="-2"/>
              <w:jc w:val="center"/>
              <w:rPr>
                <w:b/>
                <w:sz w:val="16"/>
                <w:szCs w:val="16"/>
              </w:rPr>
            </w:pPr>
            <w:r w:rsidRPr="00AA5E3E">
              <w:rPr>
                <w:b/>
                <w:sz w:val="16"/>
                <w:szCs w:val="16"/>
              </w:rPr>
              <w:t>HARCAMA KALEMİ</w:t>
            </w:r>
          </w:p>
        </w:tc>
        <w:tc>
          <w:tcPr>
            <w:tcW w:w="1583" w:type="dxa"/>
          </w:tcPr>
          <w:p w:rsidR="00DE1A9C" w:rsidRPr="00AA5E3E" w:rsidRDefault="00DE1A9C" w:rsidP="00E54210">
            <w:pPr>
              <w:pStyle w:val="gvdemetni0"/>
              <w:spacing w:before="0" w:beforeAutospacing="0" w:after="0" w:afterAutospacing="0"/>
              <w:ind w:right="-2"/>
              <w:jc w:val="center"/>
              <w:rPr>
                <w:b/>
                <w:sz w:val="16"/>
                <w:szCs w:val="16"/>
              </w:rPr>
            </w:pPr>
            <w:r w:rsidRPr="00AA5E3E">
              <w:rPr>
                <w:b/>
                <w:sz w:val="16"/>
                <w:szCs w:val="16"/>
              </w:rPr>
              <w:t>ÖDENEK MİKTARI</w:t>
            </w:r>
          </w:p>
        </w:tc>
      </w:tr>
      <w:tr w:rsidR="00DE1A9C" w:rsidRPr="00AA5E3E" w:rsidTr="00E54210">
        <w:tc>
          <w:tcPr>
            <w:tcW w:w="1582"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 xml:space="preserve">İNOVASYON </w:t>
            </w:r>
            <w:proofErr w:type="spellStart"/>
            <w:r w:rsidRPr="00AA5E3E">
              <w:rPr>
                <w:sz w:val="16"/>
                <w:szCs w:val="16"/>
              </w:rPr>
              <w:t>Müd</w:t>
            </w:r>
            <w:proofErr w:type="spellEnd"/>
            <w:r w:rsidRPr="00AA5E3E">
              <w:rPr>
                <w:sz w:val="16"/>
                <w:szCs w:val="16"/>
              </w:rPr>
              <w:t>.</w:t>
            </w:r>
          </w:p>
        </w:tc>
        <w:tc>
          <w:tcPr>
            <w:tcW w:w="1582"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03.5</w:t>
            </w:r>
          </w:p>
        </w:tc>
        <w:tc>
          <w:tcPr>
            <w:tcW w:w="1582"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4.000.000,00 TL</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 xml:space="preserve">Fen İşleri </w:t>
            </w:r>
            <w:proofErr w:type="spellStart"/>
            <w:r w:rsidRPr="00AA5E3E">
              <w:rPr>
                <w:sz w:val="16"/>
                <w:szCs w:val="16"/>
              </w:rPr>
              <w:t>Müd</w:t>
            </w:r>
            <w:proofErr w:type="spellEnd"/>
            <w:r w:rsidRPr="00AA5E3E">
              <w:rPr>
                <w:sz w:val="16"/>
                <w:szCs w:val="16"/>
              </w:rPr>
              <w:t>.</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06.1</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2.000.000,00 TL</w:t>
            </w:r>
          </w:p>
        </w:tc>
      </w:tr>
      <w:tr w:rsidR="00DE1A9C" w:rsidRPr="00AA5E3E" w:rsidTr="00E54210">
        <w:tc>
          <w:tcPr>
            <w:tcW w:w="1582" w:type="dxa"/>
          </w:tcPr>
          <w:p w:rsidR="00DE1A9C" w:rsidRPr="00AA5E3E" w:rsidRDefault="00DE1A9C" w:rsidP="00E54210">
            <w:pPr>
              <w:pStyle w:val="gvdemetni0"/>
              <w:spacing w:before="0" w:beforeAutospacing="0" w:after="0" w:afterAutospacing="0"/>
              <w:ind w:right="-2"/>
              <w:jc w:val="center"/>
              <w:rPr>
                <w:sz w:val="16"/>
                <w:szCs w:val="16"/>
              </w:rPr>
            </w:pPr>
          </w:p>
        </w:tc>
        <w:tc>
          <w:tcPr>
            <w:tcW w:w="1582" w:type="dxa"/>
          </w:tcPr>
          <w:p w:rsidR="00DE1A9C" w:rsidRPr="00AA5E3E" w:rsidRDefault="00DE1A9C" w:rsidP="00E54210">
            <w:pPr>
              <w:pStyle w:val="gvdemetni0"/>
              <w:spacing w:before="0" w:beforeAutospacing="0" w:after="0" w:afterAutospacing="0"/>
              <w:ind w:right="-2"/>
              <w:jc w:val="center"/>
              <w:rPr>
                <w:sz w:val="16"/>
                <w:szCs w:val="16"/>
              </w:rPr>
            </w:pPr>
          </w:p>
        </w:tc>
        <w:tc>
          <w:tcPr>
            <w:tcW w:w="1582" w:type="dxa"/>
          </w:tcPr>
          <w:p w:rsidR="00DE1A9C" w:rsidRPr="00AA5E3E" w:rsidRDefault="00DE1A9C" w:rsidP="00E54210">
            <w:pPr>
              <w:pStyle w:val="gvdemetni0"/>
              <w:spacing w:before="0" w:beforeAutospacing="0" w:after="0" w:afterAutospacing="0"/>
              <w:ind w:right="-2"/>
              <w:jc w:val="center"/>
              <w:rPr>
                <w:sz w:val="16"/>
                <w:szCs w:val="16"/>
              </w:rPr>
            </w:pP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 xml:space="preserve">Destek </w:t>
            </w:r>
            <w:proofErr w:type="spellStart"/>
            <w:r w:rsidRPr="00AA5E3E">
              <w:rPr>
                <w:sz w:val="16"/>
                <w:szCs w:val="16"/>
              </w:rPr>
              <w:t>Hiz</w:t>
            </w:r>
            <w:proofErr w:type="spellEnd"/>
            <w:r w:rsidRPr="00AA5E3E">
              <w:rPr>
                <w:sz w:val="16"/>
                <w:szCs w:val="16"/>
              </w:rPr>
              <w:t xml:space="preserve">. </w:t>
            </w:r>
            <w:proofErr w:type="spellStart"/>
            <w:r w:rsidRPr="00AA5E3E">
              <w:rPr>
                <w:sz w:val="16"/>
                <w:szCs w:val="16"/>
              </w:rPr>
              <w:t>Müd</w:t>
            </w:r>
            <w:proofErr w:type="spellEnd"/>
            <w:r w:rsidRPr="00AA5E3E">
              <w:rPr>
                <w:sz w:val="16"/>
                <w:szCs w:val="16"/>
              </w:rPr>
              <w:t>.</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03.5</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2.000.000,00 TL</w:t>
            </w:r>
          </w:p>
        </w:tc>
      </w:tr>
      <w:tr w:rsidR="00DE1A9C" w:rsidRPr="00AA5E3E" w:rsidTr="00E54210">
        <w:tc>
          <w:tcPr>
            <w:tcW w:w="1582"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 xml:space="preserve">Çevre Koruma </w:t>
            </w:r>
            <w:proofErr w:type="spellStart"/>
            <w:r w:rsidRPr="00AA5E3E">
              <w:rPr>
                <w:sz w:val="16"/>
                <w:szCs w:val="16"/>
              </w:rPr>
              <w:t>Müd</w:t>
            </w:r>
            <w:proofErr w:type="spellEnd"/>
            <w:r w:rsidRPr="00AA5E3E">
              <w:rPr>
                <w:sz w:val="16"/>
                <w:szCs w:val="16"/>
              </w:rPr>
              <w:t>. Fonksiyonel Kod (07.1.1)</w:t>
            </w:r>
          </w:p>
        </w:tc>
        <w:tc>
          <w:tcPr>
            <w:tcW w:w="1582"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06.5</w:t>
            </w:r>
          </w:p>
        </w:tc>
        <w:tc>
          <w:tcPr>
            <w:tcW w:w="1582"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1.650.000,00 TL</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 xml:space="preserve">Çevre Koruma </w:t>
            </w:r>
            <w:proofErr w:type="spellStart"/>
            <w:r w:rsidRPr="00AA5E3E">
              <w:rPr>
                <w:sz w:val="16"/>
                <w:szCs w:val="16"/>
              </w:rPr>
              <w:t>Müd</w:t>
            </w:r>
            <w:proofErr w:type="spellEnd"/>
            <w:r w:rsidRPr="00AA5E3E">
              <w:rPr>
                <w:sz w:val="16"/>
                <w:szCs w:val="16"/>
              </w:rPr>
              <w:t>. Fonksiyonel Kod (04.2.1)</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06.5</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1.650.000,00 TL</w:t>
            </w:r>
          </w:p>
        </w:tc>
      </w:tr>
      <w:tr w:rsidR="00DE1A9C" w:rsidRPr="00AA5E3E" w:rsidTr="00E54210">
        <w:tc>
          <w:tcPr>
            <w:tcW w:w="1582"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 xml:space="preserve">Gençlik ve Spor </w:t>
            </w:r>
            <w:proofErr w:type="spellStart"/>
            <w:r w:rsidRPr="00AA5E3E">
              <w:rPr>
                <w:sz w:val="16"/>
                <w:szCs w:val="16"/>
              </w:rPr>
              <w:t>Hiz</w:t>
            </w:r>
            <w:proofErr w:type="spellEnd"/>
            <w:r w:rsidRPr="00AA5E3E">
              <w:rPr>
                <w:sz w:val="16"/>
                <w:szCs w:val="16"/>
              </w:rPr>
              <w:t xml:space="preserve">. </w:t>
            </w:r>
            <w:proofErr w:type="spellStart"/>
            <w:r w:rsidRPr="00AA5E3E">
              <w:rPr>
                <w:sz w:val="16"/>
                <w:szCs w:val="16"/>
              </w:rPr>
              <w:t>Müd</w:t>
            </w:r>
            <w:proofErr w:type="spellEnd"/>
            <w:r w:rsidRPr="00AA5E3E">
              <w:rPr>
                <w:sz w:val="16"/>
                <w:szCs w:val="16"/>
              </w:rPr>
              <w:t>.</w:t>
            </w:r>
          </w:p>
        </w:tc>
        <w:tc>
          <w:tcPr>
            <w:tcW w:w="1582"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06.01</w:t>
            </w:r>
          </w:p>
        </w:tc>
        <w:tc>
          <w:tcPr>
            <w:tcW w:w="1582"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2.000.000,00 TL</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 xml:space="preserve">Destek </w:t>
            </w:r>
            <w:proofErr w:type="spellStart"/>
            <w:r w:rsidRPr="00AA5E3E">
              <w:rPr>
                <w:sz w:val="16"/>
                <w:szCs w:val="16"/>
              </w:rPr>
              <w:t>Hiz</w:t>
            </w:r>
            <w:proofErr w:type="spellEnd"/>
            <w:r w:rsidRPr="00AA5E3E">
              <w:rPr>
                <w:sz w:val="16"/>
                <w:szCs w:val="16"/>
              </w:rPr>
              <w:t xml:space="preserve">. </w:t>
            </w:r>
            <w:proofErr w:type="spellStart"/>
            <w:r w:rsidRPr="00AA5E3E">
              <w:rPr>
                <w:sz w:val="16"/>
                <w:szCs w:val="16"/>
              </w:rPr>
              <w:t>Müd</w:t>
            </w:r>
            <w:proofErr w:type="spellEnd"/>
            <w:r w:rsidRPr="00AA5E3E">
              <w:rPr>
                <w:sz w:val="16"/>
                <w:szCs w:val="16"/>
              </w:rPr>
              <w:t>.</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03.5</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r w:rsidRPr="00AA5E3E">
              <w:rPr>
                <w:sz w:val="16"/>
                <w:szCs w:val="16"/>
              </w:rPr>
              <w:t>2.000.000,00 TL</w:t>
            </w:r>
          </w:p>
        </w:tc>
      </w:tr>
      <w:tr w:rsidR="00DE1A9C" w:rsidRPr="00AA5E3E" w:rsidTr="00E54210">
        <w:tc>
          <w:tcPr>
            <w:tcW w:w="1582" w:type="dxa"/>
          </w:tcPr>
          <w:p w:rsidR="00DE1A9C" w:rsidRPr="00AA5E3E" w:rsidRDefault="00DE1A9C" w:rsidP="00E54210">
            <w:pPr>
              <w:pStyle w:val="gvdemetni0"/>
              <w:spacing w:before="0" w:beforeAutospacing="0" w:after="0" w:afterAutospacing="0"/>
              <w:ind w:right="-2"/>
              <w:jc w:val="center"/>
              <w:rPr>
                <w:b/>
                <w:sz w:val="16"/>
                <w:szCs w:val="16"/>
              </w:rPr>
            </w:pPr>
            <w:r w:rsidRPr="00AA5E3E">
              <w:rPr>
                <w:b/>
                <w:sz w:val="16"/>
                <w:szCs w:val="16"/>
              </w:rPr>
              <w:t>TOPLAM</w:t>
            </w:r>
          </w:p>
        </w:tc>
        <w:tc>
          <w:tcPr>
            <w:tcW w:w="1582" w:type="dxa"/>
          </w:tcPr>
          <w:p w:rsidR="00DE1A9C" w:rsidRPr="00AA5E3E" w:rsidRDefault="00DE1A9C" w:rsidP="00E54210">
            <w:pPr>
              <w:pStyle w:val="gvdemetni0"/>
              <w:spacing w:before="0" w:beforeAutospacing="0" w:after="0" w:afterAutospacing="0"/>
              <w:ind w:right="-2"/>
              <w:jc w:val="center"/>
              <w:rPr>
                <w:sz w:val="16"/>
                <w:szCs w:val="16"/>
              </w:rPr>
            </w:pPr>
          </w:p>
        </w:tc>
        <w:tc>
          <w:tcPr>
            <w:tcW w:w="1582" w:type="dxa"/>
          </w:tcPr>
          <w:p w:rsidR="00DE1A9C" w:rsidRPr="00AA5E3E" w:rsidRDefault="00DE1A9C" w:rsidP="00E54210">
            <w:pPr>
              <w:pStyle w:val="gvdemetni0"/>
              <w:spacing w:before="0" w:beforeAutospacing="0" w:after="0" w:afterAutospacing="0"/>
              <w:ind w:right="-2"/>
              <w:jc w:val="center"/>
              <w:rPr>
                <w:b/>
                <w:sz w:val="16"/>
                <w:szCs w:val="16"/>
              </w:rPr>
            </w:pPr>
            <w:r w:rsidRPr="00AA5E3E">
              <w:rPr>
                <w:b/>
                <w:sz w:val="16"/>
                <w:szCs w:val="16"/>
              </w:rPr>
              <w:t>7.650.000,00 TL</w:t>
            </w:r>
          </w:p>
        </w:tc>
        <w:tc>
          <w:tcPr>
            <w:tcW w:w="1583" w:type="dxa"/>
          </w:tcPr>
          <w:p w:rsidR="00DE1A9C" w:rsidRPr="00AA5E3E" w:rsidRDefault="00DE1A9C" w:rsidP="00E54210">
            <w:pPr>
              <w:pStyle w:val="gvdemetni0"/>
              <w:spacing w:before="0" w:beforeAutospacing="0" w:after="0" w:afterAutospacing="0"/>
              <w:ind w:right="-2"/>
              <w:jc w:val="center"/>
              <w:rPr>
                <w:sz w:val="16"/>
                <w:szCs w:val="16"/>
              </w:rPr>
            </w:pPr>
          </w:p>
        </w:tc>
        <w:tc>
          <w:tcPr>
            <w:tcW w:w="1583" w:type="dxa"/>
          </w:tcPr>
          <w:p w:rsidR="00DE1A9C" w:rsidRPr="00AA5E3E" w:rsidRDefault="00DE1A9C" w:rsidP="00E54210">
            <w:pPr>
              <w:pStyle w:val="gvdemetni0"/>
              <w:spacing w:before="0" w:beforeAutospacing="0" w:after="0" w:afterAutospacing="0"/>
              <w:ind w:right="-2"/>
              <w:jc w:val="center"/>
              <w:rPr>
                <w:sz w:val="16"/>
                <w:szCs w:val="16"/>
              </w:rPr>
            </w:pPr>
          </w:p>
        </w:tc>
        <w:tc>
          <w:tcPr>
            <w:tcW w:w="1583" w:type="dxa"/>
          </w:tcPr>
          <w:p w:rsidR="00DE1A9C" w:rsidRPr="00AA5E3E" w:rsidRDefault="00DE1A9C" w:rsidP="00E54210">
            <w:pPr>
              <w:pStyle w:val="gvdemetni0"/>
              <w:spacing w:before="0" w:beforeAutospacing="0" w:after="0" w:afterAutospacing="0"/>
              <w:ind w:right="-2"/>
              <w:jc w:val="center"/>
              <w:rPr>
                <w:b/>
                <w:sz w:val="16"/>
                <w:szCs w:val="16"/>
              </w:rPr>
            </w:pPr>
            <w:r w:rsidRPr="00AA5E3E">
              <w:rPr>
                <w:b/>
                <w:sz w:val="16"/>
                <w:szCs w:val="16"/>
              </w:rPr>
              <w:t>7.650.000,00 TL</w:t>
            </w:r>
          </w:p>
        </w:tc>
      </w:tr>
    </w:tbl>
    <w:p w:rsidR="00DE1A9C" w:rsidRDefault="00DE1A9C" w:rsidP="00DE1A9C">
      <w:pPr>
        <w:pStyle w:val="gvdemetni0"/>
        <w:spacing w:before="0" w:beforeAutospacing="0" w:after="0" w:afterAutospacing="0"/>
        <w:ind w:right="-2" w:firstLine="709"/>
        <w:jc w:val="both"/>
      </w:pPr>
    </w:p>
    <w:p w:rsidR="00C30A9E" w:rsidRDefault="00DE1A9C" w:rsidP="00366996">
      <w:pPr>
        <w:ind w:firstLine="709"/>
        <w:jc w:val="both"/>
      </w:pPr>
      <w:r>
        <w:t xml:space="preserve">Yukarıda ayrıntılı gösterilen </w:t>
      </w:r>
      <w:proofErr w:type="gramStart"/>
      <w:r>
        <w:t>06.1</w:t>
      </w:r>
      <w:proofErr w:type="gramEnd"/>
      <w:r>
        <w:t xml:space="preserve"> Fen İşleri Müdürlüğü, 03.5 Destek Hizmetleri Müdürlüğü, 06.5 Çevre Koruma Müdürlüğü, 03.5 Destek Hizmetleri Müdürlüğü 2022 yılı tahmini bütçesinden ayrılan giderlerine ait ödeneklerin yetersiz kaldığı, </w:t>
      </w:r>
      <w:proofErr w:type="spellStart"/>
      <w:r>
        <w:t>İnovasyon</w:t>
      </w:r>
      <w:proofErr w:type="spellEnd"/>
      <w:r>
        <w:t xml:space="preserve"> ve Teknoloji Müdürlüğü, Çevre Koruma Müdürlüğü, Gençlik ve Spor Hizmetleri Müdürlüğü Hizmet Alımları Giderlerine ait harcama kalemlerinde ödenek fazlasının olduğu tespit edilerek, ödenekleri yetersiz kalan bahse konu harcama kalemlerine yukarıda belirtildiği şekilde </w:t>
      </w:r>
      <w:r w:rsidRPr="00DE1A9C">
        <w:t>ödenek aktarılması</w:t>
      </w:r>
      <w:r>
        <w:t xml:space="preserve">na </w:t>
      </w:r>
      <w:r w:rsidR="00953D18" w:rsidRPr="00953D18">
        <w:t xml:space="preserve">ilişkin </w:t>
      </w:r>
      <w:r w:rsidR="00366996">
        <w:t>Plan ve Bütçe</w:t>
      </w:r>
      <w:r w:rsidR="007934E8" w:rsidRPr="00953D18">
        <w:t xml:space="preserve"> </w:t>
      </w:r>
      <w:r w:rsidR="00953D18" w:rsidRPr="00953D18">
        <w:t>Komisyonu Raporu</w:t>
      </w:r>
      <w:r w:rsidR="00C35F90">
        <w:t xml:space="preserve"> </w:t>
      </w:r>
      <w:r w:rsidR="00106D3D">
        <w:t xml:space="preserve">oylanarak </w:t>
      </w:r>
      <w:r w:rsidR="00953D18" w:rsidRPr="00953D18">
        <w:t>oy</w:t>
      </w:r>
      <w:r w:rsidR="000207B3">
        <w:t xml:space="preserve">birliği </w:t>
      </w:r>
      <w:r w:rsidR="00953D18" w:rsidRPr="00953D18">
        <w:t>ile kabul edildi.</w:t>
      </w:r>
    </w:p>
    <w:p w:rsidR="00C30A9E" w:rsidRDefault="00C30A9E" w:rsidP="00CA298C">
      <w:pPr>
        <w:ind w:firstLine="708"/>
        <w:jc w:val="both"/>
      </w:pPr>
    </w:p>
    <w:p w:rsidR="00366996" w:rsidRDefault="00366996" w:rsidP="00CA298C">
      <w:pPr>
        <w:ind w:firstLine="708"/>
        <w:jc w:val="both"/>
      </w:pPr>
    </w:p>
    <w:p w:rsidR="00DE1A9C" w:rsidRDefault="00DE1A9C" w:rsidP="00CA298C">
      <w:pPr>
        <w:ind w:firstLine="708"/>
        <w:jc w:val="both"/>
      </w:pPr>
    </w:p>
    <w:p w:rsidR="000207B3" w:rsidRDefault="000207B3" w:rsidP="00CA298C">
      <w:pPr>
        <w:ind w:firstLine="708"/>
        <w:jc w:val="both"/>
      </w:pPr>
    </w:p>
    <w:tbl>
      <w:tblPr>
        <w:tblW w:w="9356" w:type="dxa"/>
        <w:jc w:val="center"/>
        <w:tblLook w:val="04A0"/>
      </w:tblPr>
      <w:tblGrid>
        <w:gridCol w:w="3147"/>
        <w:gridCol w:w="3147"/>
        <w:gridCol w:w="3062"/>
      </w:tblGrid>
      <w:tr w:rsidR="00C30A9E" w:rsidTr="000639AF">
        <w:trPr>
          <w:trHeight w:val="594"/>
          <w:jc w:val="center"/>
        </w:trPr>
        <w:tc>
          <w:tcPr>
            <w:tcW w:w="3147" w:type="dxa"/>
            <w:hideMark/>
          </w:tcPr>
          <w:p w:rsidR="00C30A9E" w:rsidRDefault="00C30A9E" w:rsidP="000639AF">
            <w:pPr>
              <w:autoSpaceDE w:val="0"/>
              <w:autoSpaceDN w:val="0"/>
              <w:adjustRightInd w:val="0"/>
              <w:jc w:val="center"/>
              <w:rPr>
                <w:color w:val="000000"/>
              </w:rPr>
            </w:pPr>
            <w:r>
              <w:rPr>
                <w:color w:val="000000"/>
              </w:rPr>
              <w:t>Fatih ÜNAL</w:t>
            </w:r>
          </w:p>
          <w:p w:rsidR="00C30A9E" w:rsidRDefault="00C30A9E" w:rsidP="000639AF">
            <w:pPr>
              <w:autoSpaceDE w:val="0"/>
              <w:autoSpaceDN w:val="0"/>
              <w:adjustRightInd w:val="0"/>
              <w:jc w:val="center"/>
              <w:rPr>
                <w:color w:val="000000"/>
              </w:rPr>
            </w:pPr>
            <w:r>
              <w:rPr>
                <w:color w:val="000000"/>
              </w:rPr>
              <w:t>Meclis 1. Başkan V.</w:t>
            </w:r>
          </w:p>
        </w:tc>
        <w:tc>
          <w:tcPr>
            <w:tcW w:w="3147" w:type="dxa"/>
            <w:vAlign w:val="center"/>
            <w:hideMark/>
          </w:tcPr>
          <w:p w:rsidR="00C30A9E" w:rsidRDefault="00C30A9E" w:rsidP="000639AF">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C30A9E" w:rsidRDefault="00C30A9E" w:rsidP="000639AF">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C30A9E" w:rsidRDefault="00C30A9E" w:rsidP="000639AF">
            <w:pPr>
              <w:tabs>
                <w:tab w:val="left" w:pos="3268"/>
              </w:tabs>
              <w:jc w:val="center"/>
              <w:rPr>
                <w:color w:val="000000"/>
              </w:rPr>
            </w:pPr>
            <w:r>
              <w:rPr>
                <w:color w:val="000000"/>
              </w:rPr>
              <w:t>Naci BAYANLI</w:t>
            </w:r>
          </w:p>
          <w:p w:rsidR="00C30A9E" w:rsidRDefault="00C30A9E" w:rsidP="000639AF">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30A9E" w:rsidRDefault="00C30A9E" w:rsidP="00CA298C">
      <w:pPr>
        <w:ind w:firstLine="708"/>
        <w:jc w:val="both"/>
      </w:pPr>
    </w:p>
    <w:sectPr w:rsidR="00C30A9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7B3"/>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1873"/>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2EEA"/>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66996"/>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41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8C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86B84"/>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98F"/>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973E4"/>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2772"/>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7CC"/>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6640"/>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62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0A9E"/>
    <w:rsid w:val="00C3113B"/>
    <w:rsid w:val="00C3258A"/>
    <w:rsid w:val="00C326FF"/>
    <w:rsid w:val="00C34EC5"/>
    <w:rsid w:val="00C34F50"/>
    <w:rsid w:val="00C35F7F"/>
    <w:rsid w:val="00C35F90"/>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55EC"/>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330"/>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482D"/>
    <w:rsid w:val="00DC6085"/>
    <w:rsid w:val="00DC6347"/>
    <w:rsid w:val="00DC6BA5"/>
    <w:rsid w:val="00DC77FD"/>
    <w:rsid w:val="00DD0FEB"/>
    <w:rsid w:val="00DD159F"/>
    <w:rsid w:val="00DD181C"/>
    <w:rsid w:val="00DD3348"/>
    <w:rsid w:val="00DD38D1"/>
    <w:rsid w:val="00DD4882"/>
    <w:rsid w:val="00DD6334"/>
    <w:rsid w:val="00DD6A5B"/>
    <w:rsid w:val="00DE077E"/>
    <w:rsid w:val="00DE1A9C"/>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4D38"/>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108"/>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3C7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438B"/>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 w:type="character" w:customStyle="1" w:styleId="gvdemetnikaln">
    <w:name w:val="gvdemetnikaln"/>
    <w:basedOn w:val="VarsaylanParagrafYazTipi"/>
    <w:rsid w:val="00DE1A9C"/>
  </w:style>
  <w:style w:type="paragraph" w:customStyle="1" w:styleId="gvdemetni0">
    <w:name w:val="gvdemetni0"/>
    <w:basedOn w:val="Normal"/>
    <w:rsid w:val="00DE1A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A9B2-E299-4B40-9F36-E12B39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2026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yusuf.eroglu</cp:lastModifiedBy>
  <cp:revision>2</cp:revision>
  <cp:lastPrinted>2022-09-19T10:52:00Z</cp:lastPrinted>
  <dcterms:created xsi:type="dcterms:W3CDTF">2022-09-19T10:57:00Z</dcterms:created>
  <dcterms:modified xsi:type="dcterms:W3CDTF">2022-09-19T10:57:00Z</dcterms:modified>
</cp:coreProperties>
</file>