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036310" w:rsidRDefault="002856BD" w:rsidP="004200AC">
      <w:pPr>
        <w:ind w:right="-1"/>
        <w:jc w:val="both"/>
      </w:pPr>
      <w:r>
        <w:t>Karar No:</w:t>
      </w:r>
      <w:r w:rsidR="001C62FC">
        <w:t xml:space="preserve"> </w:t>
      </w:r>
      <w:r w:rsidR="002E5F2F">
        <w:t>1</w:t>
      </w:r>
      <w:r w:rsidR="008704FE">
        <w:t>490</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A35907">
        <w:t>0</w:t>
      </w:r>
      <w:r w:rsidR="00C035F3">
        <w:t>7</w:t>
      </w:r>
      <w:r w:rsidR="002864AA">
        <w:t>.</w:t>
      </w:r>
      <w:r w:rsidR="00DC0108">
        <w:t>0</w:t>
      </w:r>
      <w:r w:rsidR="00A35907">
        <w:t>7</w:t>
      </w:r>
      <w:r w:rsidR="00AE2FD0">
        <w:t>.2022</w:t>
      </w:r>
      <w:r>
        <w:t xml:space="preserve">        </w:t>
      </w:r>
    </w:p>
    <w:p w:rsidR="00771D3B" w:rsidRDefault="00771D3B" w:rsidP="009105F3">
      <w:pPr>
        <w:ind w:right="-1"/>
        <w:jc w:val="center"/>
      </w:pPr>
    </w:p>
    <w:p w:rsidR="00960E3B" w:rsidRDefault="00960E3B" w:rsidP="009105F3">
      <w:pPr>
        <w:ind w:right="-1"/>
        <w:jc w:val="center"/>
      </w:pPr>
    </w:p>
    <w:p w:rsidR="002856BD" w:rsidRDefault="002856BD" w:rsidP="009105F3">
      <w:pPr>
        <w:ind w:right="-1"/>
        <w:jc w:val="center"/>
      </w:pPr>
      <w:r>
        <w:t>K A R A R</w:t>
      </w:r>
    </w:p>
    <w:p w:rsidR="00036310" w:rsidRDefault="00036310" w:rsidP="00CA298C">
      <w:pPr>
        <w:ind w:right="543"/>
      </w:pPr>
    </w:p>
    <w:p w:rsidR="009D4173" w:rsidRDefault="009D4173" w:rsidP="003C7DC6">
      <w:pPr>
        <w:jc w:val="both"/>
      </w:pPr>
    </w:p>
    <w:p w:rsidR="00F31DF5" w:rsidRDefault="00F31DF5" w:rsidP="003C7DC6">
      <w:pPr>
        <w:jc w:val="both"/>
      </w:pPr>
    </w:p>
    <w:p w:rsidR="004A7B38" w:rsidRDefault="004A7B38" w:rsidP="003C7DC6">
      <w:pPr>
        <w:jc w:val="both"/>
      </w:pPr>
    </w:p>
    <w:p w:rsidR="00953D18" w:rsidRPr="00953D18" w:rsidRDefault="00933B8D" w:rsidP="00EC5E78">
      <w:pPr>
        <w:ind w:firstLine="709"/>
        <w:jc w:val="both"/>
      </w:pPr>
      <w:r w:rsidRPr="00D43EBD">
        <w:t>Toplu Konut-Büyükşehir Belediyesi İnşaat, Emlak, Mimarlık ve Proje Anonim Şirketi (TOBAŞ) ile ilgili tasfiye işle</w:t>
      </w:r>
      <w:r>
        <w:t xml:space="preserve">mlerine </w:t>
      </w:r>
      <w:r w:rsidR="00BE194A">
        <w:t xml:space="preserve">ilişkin </w:t>
      </w:r>
      <w:r w:rsidR="00F9008B">
        <w:t>Hukuk ve Tarifeler</w:t>
      </w:r>
      <w:r w:rsidR="007934E8">
        <w:t xml:space="preserve"> </w:t>
      </w:r>
      <w:r w:rsidR="00953D18">
        <w:t>Komisyonu</w:t>
      </w:r>
      <w:r w:rsidR="0088496C">
        <w:t xml:space="preserve">nun </w:t>
      </w:r>
      <w:r w:rsidR="00EC733D">
        <w:t>2</w:t>
      </w:r>
      <w:r w:rsidR="007934E8">
        <w:t>1</w:t>
      </w:r>
      <w:r w:rsidR="00953D18" w:rsidRPr="00953D18">
        <w:t>.0</w:t>
      </w:r>
      <w:r w:rsidR="00A35907">
        <w:t>6</w:t>
      </w:r>
      <w:r w:rsidR="00953D18" w:rsidRPr="00953D18">
        <w:t xml:space="preserve">.2022 tarihli ve </w:t>
      </w:r>
      <w:r w:rsidR="00F9008B">
        <w:t>2</w:t>
      </w:r>
      <w:r>
        <w:t>9</w:t>
      </w:r>
      <w:r w:rsidR="00953D18" w:rsidRPr="00953D18">
        <w:t xml:space="preserve"> sayılı Raporu Büyükşehir Belediye Meclisimizin </w:t>
      </w:r>
      <w:r w:rsidR="00CA298C">
        <w:t>0</w:t>
      </w:r>
      <w:r w:rsidR="00C035F3">
        <w:t>7</w:t>
      </w:r>
      <w:r w:rsidR="00CA298C">
        <w:t>.07</w:t>
      </w:r>
      <w:r w:rsidR="002C089C">
        <w:t>.2022</w:t>
      </w:r>
      <w:r w:rsidR="00953D18" w:rsidRPr="00953D18">
        <w:t xml:space="preserve"> tarihli toplantısında okundu.</w:t>
      </w:r>
    </w:p>
    <w:p w:rsidR="00953D18" w:rsidRPr="00953D18" w:rsidRDefault="00953D18" w:rsidP="00EC5E78">
      <w:pPr>
        <w:ind w:firstLine="709"/>
        <w:jc w:val="both"/>
      </w:pPr>
    </w:p>
    <w:p w:rsidR="00933B8D" w:rsidRPr="000B680B" w:rsidRDefault="00953D18" w:rsidP="00933B8D">
      <w:pPr>
        <w:ind w:firstLine="709"/>
        <w:jc w:val="both"/>
      </w:pPr>
      <w:proofErr w:type="gramStart"/>
      <w:r w:rsidRPr="00EC5E78">
        <w:t>Konu üzerinde yapılan görüşmelerden sonra;</w:t>
      </w:r>
      <w:r w:rsidR="009754DA" w:rsidRPr="00EC5E78">
        <w:t xml:space="preserve"> </w:t>
      </w:r>
      <w:r w:rsidR="00933B8D" w:rsidRPr="000B680B">
        <w:t>TOBAŞ Genel Müdürlüğü</w:t>
      </w:r>
      <w:r w:rsidR="00933B8D">
        <w:t xml:space="preserve">nün </w:t>
      </w:r>
      <w:r w:rsidR="00933B8D" w:rsidRPr="000B680B">
        <w:t xml:space="preserve">26.04.2022 tarihli </w:t>
      </w:r>
      <w:r w:rsidR="00933B8D">
        <w:t xml:space="preserve">yazısı </w:t>
      </w:r>
      <w:r w:rsidR="00933B8D" w:rsidRPr="000B680B">
        <w:t>ile TOBAŞ Genel Kurulunun 08.03.2022 tarihli olağan toplant</w:t>
      </w:r>
      <w:r w:rsidR="00933B8D">
        <w:t>ı</w:t>
      </w:r>
      <w:r w:rsidR="00933B8D" w:rsidRPr="000B680B">
        <w:t>sında, (A) grubu hisseden T.C. Çevre, Şehircilik ve İklim Değişikliği Bakanlığı temsilcisi tarafından verilen sözlü önerge ile şirketin amacının gerçekleşmiş olduğu ve faaliyetine devam etmesinde fayda görülmediği belirtilmek suretiyle tasfiye işlemlerinin yapılabilmesi için gerekli yetki ve mali sorumluluklarla ilgili Meclis Kara</w:t>
      </w:r>
      <w:r w:rsidR="00933B8D">
        <w:t>rı alınması istenildiği,</w:t>
      </w:r>
      <w:proofErr w:type="gramEnd"/>
    </w:p>
    <w:p w:rsidR="00933B8D" w:rsidRDefault="00933B8D" w:rsidP="00933B8D">
      <w:pPr>
        <w:ind w:firstLine="709"/>
        <w:jc w:val="both"/>
      </w:pPr>
    </w:p>
    <w:p w:rsidR="00933B8D" w:rsidRPr="000B680B" w:rsidRDefault="00933B8D" w:rsidP="00933B8D">
      <w:pPr>
        <w:ind w:firstLine="709"/>
        <w:jc w:val="both"/>
      </w:pPr>
      <w:r w:rsidRPr="000B680B">
        <w:t xml:space="preserve">Toplu Konut-Büyükşehir Belediyesi İnşaat Emlak Mimarlık ve Proje Anonim Şirketi (TOBAŞ), Belediyemiz ve T.C. Çevre, Şehircilik ve İklim Değişikliği Bakanlığı Toplu Konut </w:t>
      </w:r>
      <w:r>
        <w:t>İ</w:t>
      </w:r>
      <w:r w:rsidRPr="000B680B">
        <w:t>daresi Başkanlığı iştiraki ile 2004 yılında ödenmiş sermayesinin %49,9800'i Büyükşehir Belediyesi, %</w:t>
      </w:r>
      <w:proofErr w:type="gramStart"/>
      <w:r w:rsidRPr="000B680B">
        <w:t>0.0100'ü</w:t>
      </w:r>
      <w:proofErr w:type="gramEnd"/>
      <w:r w:rsidRPr="000B680B">
        <w:t xml:space="preserve"> ASKİ Genel Müdürlüğü ve %0.0100'ü EGO Genel Müdürlüğüne ait olmak üzere kurulduğundan, ASKİ Genel </w:t>
      </w:r>
      <w:r>
        <w:t>Müdürlüğünün 29.04.2022 tarihli ve</w:t>
      </w:r>
      <w:r w:rsidRPr="000B680B">
        <w:t xml:space="preserve"> EGO Genel Müd</w:t>
      </w:r>
      <w:r>
        <w:t xml:space="preserve">ürlüğünün 29.04.2022 tarihli yazılarında kendi İdari Encümeni ve yönetim kurullarında </w:t>
      </w:r>
      <w:r w:rsidRPr="000B680B">
        <w:t xml:space="preserve">tasfiyeye yönelik karar </w:t>
      </w:r>
      <w:r>
        <w:t>aldıkları tespit edildiği,</w:t>
      </w:r>
    </w:p>
    <w:p w:rsidR="00933B8D" w:rsidRDefault="00933B8D" w:rsidP="00933B8D">
      <w:pPr>
        <w:ind w:firstLine="709"/>
        <w:jc w:val="both"/>
      </w:pPr>
    </w:p>
    <w:p w:rsidR="00953D18" w:rsidRPr="00953D18" w:rsidRDefault="00933B8D" w:rsidP="00933B8D">
      <w:pPr>
        <w:ind w:firstLine="709"/>
        <w:jc w:val="both"/>
      </w:pPr>
      <w:r w:rsidRPr="000B680B">
        <w:t>Söz konusu kararlar uyarınca, Toplu Konut-Büyükşehir Belediyesi İnşaat Emlak Mimarlık ve Proje Anonim Şirketi (TOBAŞ) ile ilgili tasfiye işlemlerinin</w:t>
      </w:r>
      <w:r>
        <w:t xml:space="preserve"> yapılmasına</w:t>
      </w:r>
      <w:r w:rsidR="002B065F">
        <w:t xml:space="preserve"> </w:t>
      </w:r>
      <w:r w:rsidR="00953D18" w:rsidRPr="00953D18">
        <w:t xml:space="preserve">ilişkin </w:t>
      </w:r>
      <w:r w:rsidR="00F9008B">
        <w:t>Hukuk ve Tarifeler</w:t>
      </w:r>
      <w:r w:rsidR="007934E8" w:rsidRPr="00953D18">
        <w:t xml:space="preserve"> </w:t>
      </w:r>
      <w:r w:rsidR="00953D18" w:rsidRPr="00953D18">
        <w:t>Komisyonu Raporu oylanarak oy</w:t>
      </w:r>
      <w:r w:rsidR="0018191C">
        <w:t xml:space="preserve">birliği </w:t>
      </w:r>
      <w:r w:rsidR="00953D18" w:rsidRPr="00953D18">
        <w:t>ile kabul edildi.</w:t>
      </w:r>
    </w:p>
    <w:p w:rsidR="00FF4CB0" w:rsidRDefault="00FF4CB0" w:rsidP="00BE194A">
      <w:pPr>
        <w:ind w:firstLine="709"/>
        <w:jc w:val="both"/>
      </w:pPr>
    </w:p>
    <w:p w:rsidR="00C035F3" w:rsidRDefault="00C035F3" w:rsidP="000F0810">
      <w:pPr>
        <w:jc w:val="both"/>
      </w:pPr>
    </w:p>
    <w:p w:rsidR="00911DDA" w:rsidRDefault="00911DDA" w:rsidP="000F0810">
      <w:pPr>
        <w:jc w:val="both"/>
      </w:pPr>
    </w:p>
    <w:p w:rsidR="004A7B38" w:rsidRDefault="004A7B38" w:rsidP="000F0810">
      <w:pPr>
        <w:jc w:val="both"/>
      </w:pPr>
    </w:p>
    <w:p w:rsidR="005965A8" w:rsidRDefault="005965A8" w:rsidP="000F0810">
      <w:pPr>
        <w:jc w:val="both"/>
      </w:pPr>
    </w:p>
    <w:p w:rsidR="0018191C" w:rsidRDefault="0018191C"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27"/>
        <w:gridCol w:w="222"/>
        <w:gridCol w:w="222"/>
      </w:tblGrid>
      <w:tr w:rsidR="002844A5" w:rsidTr="00036310">
        <w:trPr>
          <w:trHeight w:val="594"/>
          <w:jc w:val="center"/>
        </w:trPr>
        <w:tc>
          <w:tcPr>
            <w:tcW w:w="3147" w:type="dxa"/>
          </w:tcPr>
          <w:tbl>
            <w:tblPr>
              <w:tblW w:w="9356" w:type="dxa"/>
              <w:jc w:val="center"/>
              <w:tblLook w:val="04A0"/>
            </w:tblPr>
            <w:tblGrid>
              <w:gridCol w:w="3147"/>
              <w:gridCol w:w="3147"/>
              <w:gridCol w:w="3062"/>
            </w:tblGrid>
            <w:tr w:rsidR="008704FE" w:rsidTr="00EE3F40">
              <w:trPr>
                <w:trHeight w:val="594"/>
                <w:jc w:val="center"/>
              </w:trPr>
              <w:tc>
                <w:tcPr>
                  <w:tcW w:w="3147" w:type="dxa"/>
                  <w:hideMark/>
                </w:tcPr>
                <w:p w:rsidR="008704FE" w:rsidRDefault="008704FE" w:rsidP="00EE3F40">
                  <w:pPr>
                    <w:autoSpaceDE w:val="0"/>
                    <w:autoSpaceDN w:val="0"/>
                    <w:adjustRightInd w:val="0"/>
                    <w:jc w:val="center"/>
                    <w:rPr>
                      <w:color w:val="000000"/>
                    </w:rPr>
                  </w:pPr>
                  <w:r>
                    <w:rPr>
                      <w:color w:val="000000"/>
                    </w:rPr>
                    <w:t>Fatih ÜNAL</w:t>
                  </w:r>
                </w:p>
                <w:p w:rsidR="008704FE" w:rsidRDefault="008704FE" w:rsidP="00EE3F40">
                  <w:pPr>
                    <w:autoSpaceDE w:val="0"/>
                    <w:autoSpaceDN w:val="0"/>
                    <w:adjustRightInd w:val="0"/>
                    <w:jc w:val="center"/>
                    <w:rPr>
                      <w:color w:val="000000"/>
                    </w:rPr>
                  </w:pPr>
                  <w:r>
                    <w:rPr>
                      <w:color w:val="000000"/>
                    </w:rPr>
                    <w:t>Meclis 1. Başkan V.</w:t>
                  </w:r>
                </w:p>
              </w:tc>
              <w:tc>
                <w:tcPr>
                  <w:tcW w:w="3147" w:type="dxa"/>
                  <w:vAlign w:val="center"/>
                  <w:hideMark/>
                </w:tcPr>
                <w:p w:rsidR="008704FE" w:rsidRDefault="008704FE" w:rsidP="00EE3F40">
                  <w:pPr>
                    <w:autoSpaceDE w:val="0"/>
                    <w:autoSpaceDN w:val="0"/>
                    <w:adjustRightInd w:val="0"/>
                    <w:jc w:val="center"/>
                    <w:rPr>
                      <w:color w:val="000000"/>
                    </w:rPr>
                  </w:pPr>
                  <w:r>
                    <w:rPr>
                      <w:color w:val="000000"/>
                    </w:rPr>
                    <w:t>Tuğba AYDOS</w:t>
                  </w:r>
                </w:p>
                <w:p w:rsidR="008704FE" w:rsidRDefault="008704FE" w:rsidP="00EE3F40">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hideMark/>
                </w:tcPr>
                <w:p w:rsidR="008704FE" w:rsidRDefault="008704FE" w:rsidP="00EE3F40">
                  <w:pPr>
                    <w:tabs>
                      <w:tab w:val="left" w:pos="3268"/>
                    </w:tabs>
                    <w:jc w:val="center"/>
                    <w:rPr>
                      <w:color w:val="000000"/>
                    </w:rPr>
                  </w:pPr>
                  <w:r>
                    <w:rPr>
                      <w:color w:val="000000"/>
                    </w:rPr>
                    <w:t>Harun ÖZTÜRK</w:t>
                  </w:r>
                </w:p>
                <w:p w:rsidR="008704FE" w:rsidRDefault="008704FE" w:rsidP="00EE3F40">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2844A5" w:rsidRDefault="002844A5" w:rsidP="00C14988">
            <w:pPr>
              <w:autoSpaceDE w:val="0"/>
              <w:autoSpaceDN w:val="0"/>
              <w:adjustRightInd w:val="0"/>
              <w:jc w:val="center"/>
              <w:rPr>
                <w:color w:val="000000"/>
              </w:rPr>
            </w:pPr>
          </w:p>
        </w:tc>
        <w:tc>
          <w:tcPr>
            <w:tcW w:w="3147" w:type="dxa"/>
            <w:vAlign w:val="center"/>
          </w:tcPr>
          <w:p w:rsidR="002844A5" w:rsidRDefault="002844A5" w:rsidP="00036310">
            <w:pPr>
              <w:tabs>
                <w:tab w:val="left" w:pos="3268"/>
              </w:tabs>
              <w:jc w:val="center"/>
              <w:rPr>
                <w:color w:val="000000"/>
              </w:rPr>
            </w:pPr>
          </w:p>
        </w:tc>
        <w:tc>
          <w:tcPr>
            <w:tcW w:w="3062" w:type="dxa"/>
            <w:vAlign w:val="center"/>
          </w:tcPr>
          <w:p w:rsidR="002844A5" w:rsidRDefault="002844A5" w:rsidP="00036310">
            <w:pPr>
              <w:autoSpaceDE w:val="0"/>
              <w:autoSpaceDN w:val="0"/>
              <w:adjustRightInd w:val="0"/>
              <w:jc w:val="center"/>
              <w:rPr>
                <w:color w:val="000000"/>
              </w:rPr>
            </w:pPr>
          </w:p>
        </w:tc>
      </w:tr>
    </w:tbl>
    <w:p w:rsidR="00F056A8" w:rsidRDefault="00F056A8" w:rsidP="00FA3A6B">
      <w:pPr>
        <w:jc w:val="both"/>
      </w:pPr>
    </w:p>
    <w:p w:rsidR="00FA3A6B" w:rsidRDefault="00FA3A6B" w:rsidP="00FA3A6B">
      <w:pPr>
        <w:jc w:val="both"/>
      </w:pPr>
    </w:p>
    <w:p w:rsidR="00FA3A6B" w:rsidRDefault="00FA3A6B" w:rsidP="00FA3A6B">
      <w:pPr>
        <w:jc w:val="both"/>
      </w:pPr>
    </w:p>
    <w:p w:rsidR="00FA3A6B" w:rsidRDefault="00FA3A6B" w:rsidP="00FA3A6B">
      <w:pPr>
        <w:jc w:val="both"/>
      </w:pPr>
    </w:p>
    <w:p w:rsidR="00FA3A6B" w:rsidRDefault="00FA3A6B" w:rsidP="00FA3A6B">
      <w:pPr>
        <w:jc w:val="both"/>
      </w:pPr>
    </w:p>
    <w:p w:rsidR="00FA3A6B" w:rsidRDefault="00FA3A6B" w:rsidP="00FA3A6B">
      <w:pPr>
        <w:jc w:val="both"/>
      </w:pPr>
    </w:p>
    <w:p w:rsidR="00FA3A6B" w:rsidRDefault="00FA3A6B" w:rsidP="00FA3A6B">
      <w:pPr>
        <w:jc w:val="both"/>
      </w:pPr>
    </w:p>
    <w:p w:rsidR="00FA3A6B" w:rsidRDefault="00FA3A6B" w:rsidP="00FA3A6B">
      <w:pPr>
        <w:jc w:val="center"/>
      </w:pPr>
    </w:p>
    <w:p w:rsidR="00FA3A6B" w:rsidRDefault="00FA3A6B" w:rsidP="00FA3A6B">
      <w:pPr>
        <w:jc w:val="center"/>
      </w:pPr>
      <w:r>
        <w:lastRenderedPageBreak/>
        <w:t>T.C.</w:t>
      </w:r>
    </w:p>
    <w:p w:rsidR="00FA3A6B" w:rsidRDefault="00FA3A6B" w:rsidP="00FA3A6B">
      <w:pPr>
        <w:jc w:val="center"/>
      </w:pPr>
      <w:r>
        <w:t>ANKARA BÜYÜKŞEHİR BELEDİYE MECLİSİ</w:t>
      </w:r>
    </w:p>
    <w:p w:rsidR="00FA3A6B" w:rsidRDefault="00FA3A6B" w:rsidP="00FA3A6B">
      <w:pPr>
        <w:jc w:val="center"/>
      </w:pPr>
      <w:r>
        <w:t>Hukuk ve Tarifeler Komisyonu Raporu</w:t>
      </w:r>
    </w:p>
    <w:p w:rsidR="00FA3A6B" w:rsidRDefault="00FA3A6B" w:rsidP="00FA3A6B">
      <w:pPr>
        <w:jc w:val="center"/>
      </w:pPr>
    </w:p>
    <w:p w:rsidR="00FA3A6B" w:rsidRDefault="00FA3A6B" w:rsidP="00FA3A6B">
      <w:pPr>
        <w:jc w:val="center"/>
      </w:pPr>
      <w:r>
        <w:t xml:space="preserve">Rapor No: 29          </w:t>
      </w:r>
      <w:r>
        <w:tab/>
      </w:r>
      <w:r>
        <w:tab/>
      </w:r>
      <w:r>
        <w:tab/>
      </w:r>
      <w:r>
        <w:tab/>
      </w:r>
      <w:r>
        <w:tab/>
      </w:r>
      <w:r>
        <w:tab/>
      </w:r>
      <w:r>
        <w:tab/>
        <w:t xml:space="preserve">                      21.06.2022</w:t>
      </w:r>
    </w:p>
    <w:p w:rsidR="00FA3A6B" w:rsidRDefault="00FA3A6B" w:rsidP="00FA3A6B"/>
    <w:p w:rsidR="00FA3A6B" w:rsidRDefault="00FA3A6B" w:rsidP="00FA3A6B">
      <w:pPr>
        <w:jc w:val="center"/>
      </w:pPr>
    </w:p>
    <w:p w:rsidR="00FA3A6B" w:rsidRDefault="00FA3A6B" w:rsidP="00FA3A6B">
      <w:pPr>
        <w:jc w:val="center"/>
      </w:pPr>
      <w:r>
        <w:t>BÜYÜKŞEHİR BELEDİYE MECLİSİ BAŞKANLIĞINA</w:t>
      </w:r>
    </w:p>
    <w:p w:rsidR="00FA3A6B" w:rsidRDefault="00FA3A6B" w:rsidP="00FA3A6B"/>
    <w:p w:rsidR="00FA3A6B" w:rsidRDefault="00FA3A6B" w:rsidP="00FA3A6B"/>
    <w:p w:rsidR="00FA3A6B" w:rsidRDefault="00FA3A6B" w:rsidP="00FA3A6B"/>
    <w:p w:rsidR="00FA3A6B" w:rsidRDefault="00FA3A6B" w:rsidP="00FA3A6B">
      <w:pPr>
        <w:pStyle w:val="GvdeMetniGirintisi"/>
        <w:tabs>
          <w:tab w:val="left" w:pos="9356"/>
        </w:tabs>
        <w:ind w:firstLine="709"/>
      </w:pPr>
      <w:r w:rsidRPr="00D43EBD">
        <w:t>Toplu Konut-Büyükşehir Belediyesi İnşaat, Emlak, Mimarlık ve Proje Anonim Şirketi (TOBAŞ) ile ilgili tasfiye işle</w:t>
      </w:r>
      <w:r>
        <w:t>mlerine ilişkin Hukuk ve Tarifeler Komisyonunun 24.05.2022 tarihli ve 15 sayılı raporu ile komisyonumuza yeniden havale edilen dosya incelendi.</w:t>
      </w:r>
    </w:p>
    <w:p w:rsidR="00FA3A6B" w:rsidRDefault="00FA3A6B" w:rsidP="00FA3A6B">
      <w:pPr>
        <w:pStyle w:val="GvdeMetniGirintisi"/>
        <w:tabs>
          <w:tab w:val="left" w:pos="9356"/>
        </w:tabs>
        <w:ind w:firstLine="709"/>
      </w:pPr>
    </w:p>
    <w:p w:rsidR="00FA3A6B" w:rsidRPr="000B680B" w:rsidRDefault="00FA3A6B" w:rsidP="00FA3A6B">
      <w:pPr>
        <w:ind w:firstLine="709"/>
        <w:jc w:val="both"/>
      </w:pPr>
      <w:proofErr w:type="gramStart"/>
      <w:r>
        <w:t xml:space="preserve">Komisyonumuzca yapılan incelemeler neticesinde; </w:t>
      </w:r>
      <w:r w:rsidRPr="000B680B">
        <w:t>TOBAŞ Genel Müdürlüğü</w:t>
      </w:r>
      <w:r>
        <w:t xml:space="preserve">nün </w:t>
      </w:r>
      <w:r w:rsidRPr="000B680B">
        <w:t xml:space="preserve">26.04.2022 tarihli </w:t>
      </w:r>
      <w:r>
        <w:t xml:space="preserve">yazısı </w:t>
      </w:r>
      <w:r w:rsidRPr="000B680B">
        <w:t>ile TOBAŞ Genel Kurulunun 08.03.2022 tarihli olağan toplant</w:t>
      </w:r>
      <w:r>
        <w:t>ı</w:t>
      </w:r>
      <w:r w:rsidRPr="000B680B">
        <w:t>sında, (A) grubu hisseden T.C. Çevre, Şehircilik ve İklim Değişikliği Bakanlığı temsilcisi tarafından verilen sözlü önerge ile şirketin amacının gerçekleşmiş olduğu ve faaliyetine devam etmesinde fayda görülmediği belirtilmek suretiyle tasfiye işlemlerinin yapılabilmesi için gerekli yetki ve mali sorumluluklarla ilgili meclis kara</w:t>
      </w:r>
      <w:r>
        <w:t>rı alınması istenildiği,</w:t>
      </w:r>
      <w:proofErr w:type="gramEnd"/>
    </w:p>
    <w:p w:rsidR="00FA3A6B" w:rsidRDefault="00FA3A6B" w:rsidP="00FA3A6B">
      <w:pPr>
        <w:ind w:firstLine="709"/>
        <w:jc w:val="both"/>
      </w:pPr>
    </w:p>
    <w:p w:rsidR="00FA3A6B" w:rsidRPr="000B680B" w:rsidRDefault="00FA3A6B" w:rsidP="00FA3A6B">
      <w:pPr>
        <w:ind w:firstLine="709"/>
        <w:jc w:val="both"/>
      </w:pPr>
      <w:r w:rsidRPr="000B680B">
        <w:t xml:space="preserve">Toplu Konut-Büyükşehir Belediyesi İnşaat Emlak Mimarlık ve Proje Anonim Şirketi (TOBAŞ), Belediyemiz ve T.C. Çevre, Şehircilik ve İklim Değişikliği Bakanlığı Toplu Konut </w:t>
      </w:r>
      <w:r>
        <w:t>İ</w:t>
      </w:r>
      <w:r w:rsidRPr="000B680B">
        <w:t>daresi Başkanlığı iştiraki ile 2004 yılında ödenmiş sermayesinin %49,9800'i Büyükşehir Belediyesi, %</w:t>
      </w:r>
      <w:proofErr w:type="gramStart"/>
      <w:r w:rsidRPr="000B680B">
        <w:t>0.0100'ü</w:t>
      </w:r>
      <w:proofErr w:type="gramEnd"/>
      <w:r w:rsidRPr="000B680B">
        <w:t xml:space="preserve"> ASKİ Genel Müdürlüğü ve %0.0100'ü EGO Genel Müdürlüğüne ait olmak üzere kurulduğundan, ASKİ Genel </w:t>
      </w:r>
      <w:r>
        <w:t>Müdürlüğünün 29.04.2022 tarihli ve</w:t>
      </w:r>
      <w:r w:rsidRPr="000B680B">
        <w:t xml:space="preserve"> EGO Genel Müd</w:t>
      </w:r>
      <w:r>
        <w:t xml:space="preserve">ürlüğünün 29.04.2022 tarihli yazılarında kendi İdari Encümeni ve yönetim kurullarında </w:t>
      </w:r>
      <w:r w:rsidRPr="000B680B">
        <w:t xml:space="preserve">tasfiyeye yönelik karar </w:t>
      </w:r>
      <w:r>
        <w:t>aldıkları tespit edildiği,</w:t>
      </w:r>
    </w:p>
    <w:p w:rsidR="00FA3A6B" w:rsidRDefault="00FA3A6B" w:rsidP="00FA3A6B">
      <w:pPr>
        <w:ind w:firstLine="709"/>
        <w:jc w:val="both"/>
      </w:pPr>
    </w:p>
    <w:p w:rsidR="00FA3A6B" w:rsidRPr="00305469" w:rsidRDefault="00FA3A6B" w:rsidP="00FA3A6B">
      <w:pPr>
        <w:autoSpaceDE w:val="0"/>
        <w:autoSpaceDN w:val="0"/>
        <w:adjustRightInd w:val="0"/>
        <w:ind w:firstLine="708"/>
        <w:jc w:val="both"/>
      </w:pPr>
      <w:r w:rsidRPr="000B680B">
        <w:t>Söz konusu kararlar uyarınca, Toplu Konut-Büyükşehir Belediyesi İnşaat Emlak Mimarlık ve Proje Anonim Şirketi (TOBAŞ) ile ilgili tasfiye işlemlerinin</w:t>
      </w:r>
      <w:r>
        <w:t xml:space="preserve"> yapılması komisyonumuzca uygun görülmüştür.</w:t>
      </w:r>
    </w:p>
    <w:p w:rsidR="00FA3A6B" w:rsidRDefault="00FA3A6B" w:rsidP="00FA3A6B">
      <w:pPr>
        <w:pStyle w:val="GvdeMetni"/>
        <w:tabs>
          <w:tab w:val="left" w:pos="9356"/>
        </w:tabs>
        <w:ind w:firstLine="709"/>
        <w:contextualSpacing/>
      </w:pPr>
    </w:p>
    <w:p w:rsidR="00FA3A6B" w:rsidRDefault="00FA3A6B" w:rsidP="00FA3A6B">
      <w:pPr>
        <w:pStyle w:val="GvdeMetni"/>
        <w:tabs>
          <w:tab w:val="left" w:pos="9356"/>
        </w:tabs>
        <w:ind w:firstLine="709"/>
        <w:contextualSpacing/>
      </w:pPr>
      <w:r>
        <w:t>Raporumuz Büyükşehir Belediye Meclisinin onayına arz olunur.</w:t>
      </w:r>
    </w:p>
    <w:p w:rsidR="00FA3A6B" w:rsidRDefault="00FA3A6B" w:rsidP="00FA3A6B">
      <w:pPr>
        <w:pStyle w:val="GvdeMetni"/>
        <w:tabs>
          <w:tab w:val="left" w:pos="9356"/>
        </w:tabs>
        <w:ind w:firstLine="709"/>
        <w:contextualSpacing/>
      </w:pPr>
    </w:p>
    <w:p w:rsidR="00FA3A6B" w:rsidRDefault="00FA3A6B" w:rsidP="00FA3A6B">
      <w:pPr>
        <w:pStyle w:val="GvdeMetni"/>
        <w:tabs>
          <w:tab w:val="left" w:pos="9356"/>
        </w:tabs>
        <w:contextualSpacing/>
      </w:pPr>
    </w:p>
    <w:p w:rsidR="00FA3A6B" w:rsidRDefault="00FA3A6B" w:rsidP="00FA3A6B">
      <w:pPr>
        <w:tabs>
          <w:tab w:val="left" w:pos="709"/>
          <w:tab w:val="left" w:pos="3828"/>
          <w:tab w:val="left" w:pos="4678"/>
          <w:tab w:val="left" w:pos="5387"/>
          <w:tab w:val="left" w:pos="9356"/>
        </w:tabs>
        <w:jc w:val="both"/>
      </w:pPr>
    </w:p>
    <w:tbl>
      <w:tblPr>
        <w:tblpPr w:leftFromText="141" w:rightFromText="141" w:vertAnchor="text" w:tblpX="108" w:tblpY="-74"/>
        <w:tblW w:w="9413" w:type="dxa"/>
        <w:shd w:val="clear" w:color="auto" w:fill="FFFFFF" w:themeFill="background1"/>
        <w:tblLook w:val="04A0"/>
      </w:tblPr>
      <w:tblGrid>
        <w:gridCol w:w="3064"/>
        <w:gridCol w:w="3173"/>
        <w:gridCol w:w="3176"/>
      </w:tblGrid>
      <w:tr w:rsidR="00FA3A6B" w:rsidTr="00FA3A6B">
        <w:trPr>
          <w:trHeight w:val="975"/>
        </w:trPr>
        <w:tc>
          <w:tcPr>
            <w:tcW w:w="3064" w:type="dxa"/>
            <w:shd w:val="clear" w:color="auto" w:fill="FFFFFF" w:themeFill="background1"/>
            <w:hideMark/>
          </w:tcPr>
          <w:p w:rsidR="00FA3A6B" w:rsidRDefault="00FA3A6B" w:rsidP="00E51742">
            <w:pPr>
              <w:jc w:val="center"/>
            </w:pPr>
            <w:r>
              <w:t>Ercan KINACI</w:t>
            </w:r>
          </w:p>
          <w:p w:rsidR="00FA3A6B" w:rsidRDefault="00FA3A6B" w:rsidP="00E51742">
            <w:pPr>
              <w:jc w:val="center"/>
            </w:pPr>
            <w:r>
              <w:t>Komisyon Başkanı</w:t>
            </w:r>
          </w:p>
        </w:tc>
        <w:tc>
          <w:tcPr>
            <w:tcW w:w="3173" w:type="dxa"/>
            <w:shd w:val="clear" w:color="auto" w:fill="FFFFFF" w:themeFill="background1"/>
            <w:hideMark/>
          </w:tcPr>
          <w:p w:rsidR="00FA3A6B" w:rsidRDefault="00FA3A6B" w:rsidP="00E51742">
            <w:pPr>
              <w:jc w:val="center"/>
            </w:pPr>
            <w:r>
              <w:t>Abdullah Emin TEKİN</w:t>
            </w:r>
          </w:p>
          <w:p w:rsidR="00FA3A6B" w:rsidRDefault="00FA3A6B" w:rsidP="00E51742">
            <w:pPr>
              <w:jc w:val="center"/>
            </w:pPr>
            <w:r>
              <w:t>Başkan Vekili</w:t>
            </w:r>
          </w:p>
        </w:tc>
        <w:tc>
          <w:tcPr>
            <w:tcW w:w="3176" w:type="dxa"/>
            <w:shd w:val="clear" w:color="auto" w:fill="FFFFFF" w:themeFill="background1"/>
            <w:hideMark/>
          </w:tcPr>
          <w:p w:rsidR="00FA3A6B" w:rsidRDefault="00FA3A6B" w:rsidP="00E51742">
            <w:pPr>
              <w:jc w:val="center"/>
            </w:pPr>
            <w:proofErr w:type="spellStart"/>
            <w:r>
              <w:t>Aysun</w:t>
            </w:r>
            <w:proofErr w:type="spellEnd"/>
            <w:r>
              <w:t xml:space="preserve"> Liman YAŞACAN</w:t>
            </w:r>
          </w:p>
          <w:p w:rsidR="00FA3A6B" w:rsidRDefault="00FA3A6B" w:rsidP="00E51742">
            <w:pPr>
              <w:jc w:val="center"/>
            </w:pPr>
            <w:r>
              <w:t>Üye</w:t>
            </w:r>
          </w:p>
        </w:tc>
      </w:tr>
      <w:tr w:rsidR="00FA3A6B" w:rsidTr="00FA3A6B">
        <w:trPr>
          <w:trHeight w:val="975"/>
        </w:trPr>
        <w:tc>
          <w:tcPr>
            <w:tcW w:w="3064" w:type="dxa"/>
            <w:shd w:val="clear" w:color="auto" w:fill="FFFFFF" w:themeFill="background1"/>
            <w:vAlign w:val="center"/>
            <w:hideMark/>
          </w:tcPr>
          <w:p w:rsidR="00FA3A6B" w:rsidRDefault="00FA3A6B" w:rsidP="00E51742">
            <w:pPr>
              <w:jc w:val="center"/>
            </w:pPr>
            <w:r>
              <w:t>Burak KOCA</w:t>
            </w:r>
          </w:p>
          <w:p w:rsidR="00FA3A6B" w:rsidRDefault="00FA3A6B" w:rsidP="00E51742">
            <w:pPr>
              <w:jc w:val="center"/>
            </w:pPr>
            <w:r>
              <w:t>Üye</w:t>
            </w:r>
          </w:p>
        </w:tc>
        <w:tc>
          <w:tcPr>
            <w:tcW w:w="3173" w:type="dxa"/>
            <w:shd w:val="clear" w:color="auto" w:fill="FFFFFF" w:themeFill="background1"/>
            <w:vAlign w:val="center"/>
            <w:hideMark/>
          </w:tcPr>
          <w:p w:rsidR="00FA3A6B" w:rsidRDefault="00FA3A6B" w:rsidP="00E51742">
            <w:pPr>
              <w:jc w:val="center"/>
            </w:pPr>
            <w:r>
              <w:t>Edip BALCI</w:t>
            </w:r>
          </w:p>
          <w:p w:rsidR="00FA3A6B" w:rsidRDefault="00FA3A6B" w:rsidP="00E51742">
            <w:pPr>
              <w:jc w:val="center"/>
            </w:pPr>
            <w:r>
              <w:t>Üye</w:t>
            </w:r>
          </w:p>
        </w:tc>
        <w:tc>
          <w:tcPr>
            <w:tcW w:w="3176" w:type="dxa"/>
            <w:shd w:val="clear" w:color="auto" w:fill="FFFFFF" w:themeFill="background1"/>
            <w:vAlign w:val="center"/>
            <w:hideMark/>
          </w:tcPr>
          <w:p w:rsidR="00FA3A6B" w:rsidRDefault="00FA3A6B" w:rsidP="00E51742">
            <w:pPr>
              <w:jc w:val="center"/>
            </w:pPr>
            <w:r>
              <w:t>Mehmet ÜÇÖZ</w:t>
            </w:r>
          </w:p>
          <w:p w:rsidR="00FA3A6B" w:rsidRDefault="00FA3A6B" w:rsidP="00E51742">
            <w:pPr>
              <w:jc w:val="center"/>
            </w:pPr>
            <w:r>
              <w:t>Üye</w:t>
            </w:r>
          </w:p>
        </w:tc>
      </w:tr>
      <w:tr w:rsidR="00FA3A6B" w:rsidTr="00FA3A6B">
        <w:trPr>
          <w:trHeight w:val="975"/>
        </w:trPr>
        <w:tc>
          <w:tcPr>
            <w:tcW w:w="3064" w:type="dxa"/>
            <w:shd w:val="clear" w:color="auto" w:fill="FFFFFF" w:themeFill="background1"/>
            <w:vAlign w:val="bottom"/>
            <w:hideMark/>
          </w:tcPr>
          <w:p w:rsidR="00FA3A6B" w:rsidRDefault="00FA3A6B" w:rsidP="00E51742">
            <w:pPr>
              <w:jc w:val="center"/>
            </w:pPr>
            <w:r>
              <w:t>Ömer KOÇAK</w:t>
            </w:r>
          </w:p>
          <w:p w:rsidR="00FA3A6B" w:rsidRDefault="00FA3A6B" w:rsidP="00E51742">
            <w:pPr>
              <w:jc w:val="center"/>
            </w:pPr>
            <w:r>
              <w:t>Üye</w:t>
            </w:r>
          </w:p>
        </w:tc>
        <w:tc>
          <w:tcPr>
            <w:tcW w:w="3173" w:type="dxa"/>
            <w:shd w:val="clear" w:color="auto" w:fill="FFFFFF" w:themeFill="background1"/>
            <w:vAlign w:val="bottom"/>
            <w:hideMark/>
          </w:tcPr>
          <w:p w:rsidR="00FA3A6B" w:rsidRDefault="00FA3A6B" w:rsidP="00E51742">
            <w:pPr>
              <w:jc w:val="center"/>
            </w:pPr>
            <w:r>
              <w:t>Haydar DEMİR</w:t>
            </w:r>
          </w:p>
          <w:p w:rsidR="00FA3A6B" w:rsidRDefault="00FA3A6B" w:rsidP="00E51742">
            <w:pPr>
              <w:jc w:val="center"/>
            </w:pPr>
            <w:r>
              <w:t>Üye</w:t>
            </w:r>
          </w:p>
        </w:tc>
        <w:tc>
          <w:tcPr>
            <w:tcW w:w="3176" w:type="dxa"/>
            <w:shd w:val="clear" w:color="auto" w:fill="FFFFFF" w:themeFill="background1"/>
            <w:vAlign w:val="bottom"/>
            <w:hideMark/>
          </w:tcPr>
          <w:p w:rsidR="00FA3A6B" w:rsidRDefault="00FA3A6B" w:rsidP="00E51742">
            <w:pPr>
              <w:jc w:val="center"/>
            </w:pPr>
            <w:r>
              <w:t>Selim ÇIRPANOĞLU</w:t>
            </w:r>
          </w:p>
          <w:p w:rsidR="00FA3A6B" w:rsidRDefault="00FA3A6B" w:rsidP="00E51742">
            <w:pPr>
              <w:jc w:val="center"/>
            </w:pPr>
            <w:r>
              <w:t>Üye</w:t>
            </w:r>
          </w:p>
        </w:tc>
      </w:tr>
    </w:tbl>
    <w:p w:rsidR="00FA3A6B" w:rsidRPr="00605302" w:rsidRDefault="00FA3A6B" w:rsidP="00FA3A6B"/>
    <w:p w:rsidR="00FA3A6B" w:rsidRDefault="00FA3A6B" w:rsidP="00FA3A6B">
      <w:pPr>
        <w:jc w:val="both"/>
      </w:pPr>
    </w:p>
    <w:sectPr w:rsidR="00FA3A6B"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7"/>
  </w:num>
  <w:num w:numId="2">
    <w:abstractNumId w:val="16"/>
  </w:num>
  <w:num w:numId="3">
    <w:abstractNumId w:val="20"/>
  </w:num>
  <w:num w:numId="4">
    <w:abstractNumId w:val="19"/>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5"/>
  </w:num>
  <w:num w:numId="15">
    <w:abstractNumId w:val="2"/>
  </w:num>
  <w:num w:numId="16">
    <w:abstractNumId w:val="12"/>
  </w:num>
  <w:num w:numId="17">
    <w:abstractNumId w:val="9"/>
  </w:num>
  <w:num w:numId="18">
    <w:abstractNumId w:val="6"/>
  </w:num>
  <w:num w:numId="19">
    <w:abstractNumId w:val="14"/>
  </w:num>
  <w:num w:numId="20">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065F"/>
    <w:rsid w:val="002B112C"/>
    <w:rsid w:val="002B11F1"/>
    <w:rsid w:val="002B15DD"/>
    <w:rsid w:val="002B3B05"/>
    <w:rsid w:val="002B3E41"/>
    <w:rsid w:val="002B42EB"/>
    <w:rsid w:val="002B49C6"/>
    <w:rsid w:val="002B4A66"/>
    <w:rsid w:val="002B5768"/>
    <w:rsid w:val="002B6364"/>
    <w:rsid w:val="002B73CD"/>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1DF9"/>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47F1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7729"/>
    <w:rsid w:val="00787DE2"/>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788B"/>
    <w:rsid w:val="00817A6D"/>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4339"/>
    <w:rsid w:val="00854746"/>
    <w:rsid w:val="0085632C"/>
    <w:rsid w:val="00857FB1"/>
    <w:rsid w:val="00860C9C"/>
    <w:rsid w:val="008611F4"/>
    <w:rsid w:val="008621E9"/>
    <w:rsid w:val="00863C33"/>
    <w:rsid w:val="00863EDD"/>
    <w:rsid w:val="00866701"/>
    <w:rsid w:val="008673CA"/>
    <w:rsid w:val="008675D8"/>
    <w:rsid w:val="00867BF2"/>
    <w:rsid w:val="0087013B"/>
    <w:rsid w:val="008702F8"/>
    <w:rsid w:val="008704FE"/>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3B8D"/>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0E3B"/>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5A43"/>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F81"/>
    <w:rsid w:val="00CD68CB"/>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63C1"/>
    <w:rsid w:val="00EB7252"/>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3A6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9C5F-1B9A-4DE4-8CDF-E155073C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2022-06-10T11:28:00Z</cp:lastPrinted>
  <dcterms:created xsi:type="dcterms:W3CDTF">2022-07-07T17:18:00Z</dcterms:created>
  <dcterms:modified xsi:type="dcterms:W3CDTF">2022-07-08T09:13:00Z</dcterms:modified>
</cp:coreProperties>
</file>