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F57233">
        <w:t>491</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A35907">
        <w:t>0</w:t>
      </w:r>
      <w:r w:rsidR="00C035F3">
        <w:t>7</w:t>
      </w:r>
      <w:r w:rsidR="002864AA">
        <w:t>.</w:t>
      </w:r>
      <w:r w:rsidR="00DC0108">
        <w:t>0</w:t>
      </w:r>
      <w:r w:rsidR="00A35907">
        <w:t>7</w:t>
      </w:r>
      <w:r w:rsidR="00AE2FD0">
        <w:t>.2022</w:t>
      </w:r>
      <w:r>
        <w:t xml:space="preserve">        </w:t>
      </w:r>
    </w:p>
    <w:p w:rsidR="00960E3B" w:rsidRDefault="00960E3B" w:rsidP="009105F3">
      <w:pPr>
        <w:ind w:right="-1"/>
        <w:jc w:val="center"/>
      </w:pPr>
    </w:p>
    <w:p w:rsidR="00F57233" w:rsidRDefault="00F57233" w:rsidP="009105F3">
      <w:pPr>
        <w:ind w:right="-1"/>
        <w:jc w:val="center"/>
      </w:pPr>
    </w:p>
    <w:p w:rsidR="002856BD" w:rsidRDefault="002856BD" w:rsidP="009105F3">
      <w:pPr>
        <w:ind w:right="-1"/>
        <w:jc w:val="center"/>
      </w:pPr>
      <w:r>
        <w:t>K A R A R</w:t>
      </w:r>
    </w:p>
    <w:p w:rsidR="00036310" w:rsidRDefault="00036310" w:rsidP="00CA298C">
      <w:pPr>
        <w:ind w:right="543"/>
      </w:pPr>
    </w:p>
    <w:p w:rsidR="00F31DF5" w:rsidRDefault="00F31DF5" w:rsidP="003C7DC6">
      <w:pPr>
        <w:jc w:val="both"/>
      </w:pPr>
    </w:p>
    <w:p w:rsidR="004A7B38" w:rsidRDefault="004A7B38" w:rsidP="003C7DC6">
      <w:pPr>
        <w:jc w:val="both"/>
      </w:pPr>
    </w:p>
    <w:p w:rsidR="00953D18" w:rsidRPr="00953D18" w:rsidRDefault="00300A7D" w:rsidP="00EC5E78">
      <w:pPr>
        <w:ind w:firstLine="709"/>
        <w:jc w:val="both"/>
      </w:pPr>
      <w:r w:rsidRPr="00D43EBD">
        <w:t xml:space="preserve">EGO Genel Müdürlüğü uhdesindeki ücret toplama sisteminin Belediyemiz iştirakine devrine </w:t>
      </w:r>
      <w:r w:rsidR="00BE194A">
        <w:t xml:space="preserve">ilişkin </w:t>
      </w:r>
      <w:r w:rsidR="00F9008B">
        <w:t>Hukuk ve Tarifeler</w:t>
      </w:r>
      <w:r w:rsidR="007934E8">
        <w:t xml:space="preserve"> </w:t>
      </w:r>
      <w:r w:rsidR="00953D18">
        <w:t>Komisyonu</w:t>
      </w:r>
      <w:r w:rsidR="0088496C">
        <w:t xml:space="preserve">nun </w:t>
      </w:r>
      <w:r w:rsidR="00EC733D">
        <w:t>2</w:t>
      </w:r>
      <w:r w:rsidR="007934E8">
        <w:t>1</w:t>
      </w:r>
      <w:r w:rsidR="00953D18" w:rsidRPr="00953D18">
        <w:t>.0</w:t>
      </w:r>
      <w:r w:rsidR="00A35907">
        <w:t>6</w:t>
      </w:r>
      <w:r w:rsidR="00953D18" w:rsidRPr="00953D18">
        <w:t xml:space="preserve">.2022 tarihli ve </w:t>
      </w:r>
      <w:r>
        <w:t>30</w:t>
      </w:r>
      <w:r w:rsidR="00953D18" w:rsidRPr="00953D18">
        <w:t xml:space="preserve"> sayılı Raporu Büyükşehir Belediye Meclisimizin </w:t>
      </w:r>
      <w:r w:rsidR="00CA298C">
        <w:t>0</w:t>
      </w:r>
      <w:r w:rsidR="00C035F3">
        <w:t>7</w:t>
      </w:r>
      <w:r w:rsidR="00CA298C">
        <w:t>.07</w:t>
      </w:r>
      <w:r w:rsidR="002C089C">
        <w:t>.2022</w:t>
      </w:r>
      <w:r w:rsidR="00953D18" w:rsidRPr="00953D18">
        <w:t xml:space="preserve"> tarihli toplantısında okundu.</w:t>
      </w:r>
    </w:p>
    <w:p w:rsidR="00953D18" w:rsidRPr="00953D18" w:rsidRDefault="00953D18" w:rsidP="00EC5E78">
      <w:pPr>
        <w:ind w:firstLine="709"/>
        <w:jc w:val="both"/>
      </w:pPr>
    </w:p>
    <w:p w:rsidR="00300A7D" w:rsidRDefault="00953D18" w:rsidP="00300A7D">
      <w:pPr>
        <w:ind w:firstLine="709"/>
        <w:jc w:val="both"/>
      </w:pPr>
      <w:r w:rsidRPr="00EC5E78">
        <w:t>Konu üzerinde yapılan görüşmelerden sonra;</w:t>
      </w:r>
      <w:r w:rsidR="009754DA" w:rsidRPr="00EC5E78">
        <w:t xml:space="preserve"> </w:t>
      </w:r>
      <w:r w:rsidR="00300A7D" w:rsidRPr="00305469">
        <w:t>5216 sayılı Büyükşehir Belediyesi Kanununun Büyükşehir ve İlçe Belediyelerinin</w:t>
      </w:r>
      <w:r w:rsidR="00300A7D">
        <w:t xml:space="preserve"> </w:t>
      </w:r>
      <w:r w:rsidR="00300A7D" w:rsidRPr="00305469">
        <w:t>gör</w:t>
      </w:r>
      <w:r w:rsidR="00300A7D">
        <w:t xml:space="preserve">ev ve sorumlulukları başlıklı 7’nci maddesinin f bendinde" </w:t>
      </w:r>
      <w:r w:rsidR="00300A7D" w:rsidRPr="00305469">
        <w:t>ulaşım ve toplu taşıma</w:t>
      </w:r>
      <w:r w:rsidR="00300A7D">
        <w:t xml:space="preserve"> </w:t>
      </w:r>
      <w:r w:rsidR="00300A7D" w:rsidRPr="00305469">
        <w:t xml:space="preserve">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ve p bendinde "Büyükşehir içindeki toplu taşıma hizmetlerini yürütmek ve bu amaçla gerekli tesisleri kurmak, kurdurmak, işletmek veya işlettirmek, büyükşehir sınırları içindeki kara ve denizde taksi ve servis araçları </w:t>
      </w:r>
      <w:proofErr w:type="gramStart"/>
      <w:r w:rsidR="00300A7D" w:rsidRPr="00305469">
        <w:t>dahil</w:t>
      </w:r>
      <w:proofErr w:type="gramEnd"/>
      <w:r w:rsidR="00300A7D" w:rsidRPr="00305469">
        <w:t xml:space="preserve"> toplu taşıma araçlarına ruhsat vermek. (Ek cümle: </w:t>
      </w:r>
      <w:proofErr w:type="gramStart"/>
      <w:r w:rsidR="00300A7D" w:rsidRPr="00305469">
        <w:t>16/5/2018</w:t>
      </w:r>
      <w:proofErr w:type="gramEnd"/>
      <w:r w:rsidR="00300A7D" w:rsidRPr="00305469">
        <w:t>-7144/14 md.) Büyükşehir içindeki toplu taşıma hatlarıyla ilgili olarak; şehir merkezine olan uzaklık, nüfus ve hattı kullanan sayısı kriterleri esas alınarak tespit edilecek hatlarla ilgili toplu taşıma hizmetlerinin işlettirilmesine karar vermek" Büyükşehir Belediyesinin</w:t>
      </w:r>
      <w:r w:rsidR="00300A7D">
        <w:t xml:space="preserve"> görevleri arasında sayıldığı,</w:t>
      </w:r>
    </w:p>
    <w:p w:rsidR="00300A7D" w:rsidRPr="00305469" w:rsidRDefault="00300A7D" w:rsidP="00300A7D">
      <w:pPr>
        <w:ind w:firstLine="709"/>
        <w:jc w:val="both"/>
      </w:pPr>
    </w:p>
    <w:p w:rsidR="00300A7D" w:rsidRDefault="00300A7D" w:rsidP="00300A7D">
      <w:pPr>
        <w:ind w:firstLine="709"/>
        <w:jc w:val="both"/>
      </w:pPr>
      <w:r w:rsidRPr="00305469">
        <w:t>Ankara Büyükşehir Belediyesi sınırlarında Büyükşehir Belediyesinin görevleri arasında sayılan toplu ulaşım hizmeti Kurul</w:t>
      </w:r>
      <w:r>
        <w:t>uşumuzca yerine getirildiği,</w:t>
      </w:r>
    </w:p>
    <w:p w:rsidR="00300A7D" w:rsidRPr="00305469" w:rsidRDefault="00300A7D" w:rsidP="00300A7D">
      <w:pPr>
        <w:ind w:firstLine="709"/>
        <w:jc w:val="both"/>
      </w:pPr>
    </w:p>
    <w:p w:rsidR="00300A7D" w:rsidRDefault="00300A7D" w:rsidP="00300A7D">
      <w:pPr>
        <w:ind w:firstLine="709"/>
        <w:jc w:val="both"/>
      </w:pPr>
      <w:r w:rsidRPr="00305469">
        <w:t>Toplu Ulaşım hizmetinin ayrılmaz bir parçası olan ücret toplama sistemi (E.Ü.T.S.) kuruluşumuz ile E-KENT Teknoloji ve Ödeme Sistemleri Sanayi ve Ticaret A.Ş. arasında 20.03.2013 tarihinde imzalanan 10 yıl süreli sözleşme kapsamında yürütülmektedir. Sözleşme 21.03.2023 tarihinde sona erecek olup firma ile tasfiye ve kabul süreçlerine i</w:t>
      </w:r>
      <w:r>
        <w:t>lişkin çalışmalara başlanıldığı,</w:t>
      </w:r>
    </w:p>
    <w:p w:rsidR="00300A7D" w:rsidRPr="00305469" w:rsidRDefault="00300A7D" w:rsidP="00300A7D">
      <w:pPr>
        <w:ind w:firstLine="709"/>
        <w:jc w:val="both"/>
      </w:pPr>
    </w:p>
    <w:p w:rsidR="00300A7D" w:rsidRDefault="00300A7D" w:rsidP="00300A7D">
      <w:pPr>
        <w:ind w:firstLine="709"/>
        <w:jc w:val="both"/>
      </w:pPr>
      <w:r w:rsidRPr="00305469">
        <w:t xml:space="preserve">Mevcut elektronik ücret toplama sistemi halihazırda 3180 adet </w:t>
      </w:r>
      <w:proofErr w:type="spellStart"/>
      <w:r w:rsidRPr="00305469">
        <w:t>validatör</w:t>
      </w:r>
      <w:proofErr w:type="spellEnd"/>
      <w:r w:rsidRPr="00305469">
        <w:t xml:space="preserve">, 489 bayi, 198 </w:t>
      </w:r>
      <w:proofErr w:type="spellStart"/>
      <w:r w:rsidRPr="00305469">
        <w:t>kiosk</w:t>
      </w:r>
      <w:proofErr w:type="spellEnd"/>
      <w:r w:rsidRPr="00305469">
        <w:t xml:space="preserve">, 30 gişe ve 5 adet işlem merkezi ile günlük kullanımı </w:t>
      </w:r>
      <w:proofErr w:type="gramStart"/>
      <w:r w:rsidRPr="00305469">
        <w:t>1.5</w:t>
      </w:r>
      <w:proofErr w:type="gramEnd"/>
      <w:r w:rsidRPr="00305469">
        <w:t xml:space="preserve"> milyonu aşkın 8 m</w:t>
      </w:r>
      <w:r>
        <w:t xml:space="preserve">ilyon civarı toplam </w:t>
      </w:r>
      <w:proofErr w:type="spellStart"/>
      <w:r>
        <w:t>Ankarakart'ın</w:t>
      </w:r>
      <w:proofErr w:type="spellEnd"/>
      <w:r w:rsidRPr="00305469">
        <w:t xml:space="preserve"> bulunduğu büyük bir sistemdir. Teknolojik gelişmelerin hız kazandığı ve bu tarz elektronik ödeme sistemlerinin hızla yayıldığı bir ortamda mevcut personel yapısı ve ekonomik koşullar ile sistemin tam olarak işletilmesi ve geliştirilmesi açısından hizmet alımı veya gelir paylaşımı suretiyle yeniden işletilmesin</w:t>
      </w:r>
      <w:r>
        <w:t>in sağlanması zorunlu olduğu,</w:t>
      </w:r>
    </w:p>
    <w:p w:rsidR="00300A7D" w:rsidRPr="00305469" w:rsidRDefault="00300A7D" w:rsidP="00300A7D">
      <w:pPr>
        <w:ind w:firstLine="709"/>
        <w:jc w:val="both"/>
      </w:pPr>
    </w:p>
    <w:p w:rsidR="00300A7D" w:rsidRDefault="00300A7D" w:rsidP="00300A7D">
      <w:pPr>
        <w:ind w:firstLine="709"/>
        <w:jc w:val="both"/>
      </w:pPr>
      <w:r w:rsidRPr="00305469">
        <w:t>Başkent Elektronik Para ve Ödeme Hizmetleri A.Ş.'</w:t>
      </w:r>
      <w:proofErr w:type="spellStart"/>
      <w:r w:rsidRPr="00305469">
        <w:t>nin</w:t>
      </w:r>
      <w:proofErr w:type="spellEnd"/>
      <w:r w:rsidRPr="00305469">
        <w:t xml:space="preserve"> 12.05.2022 </w:t>
      </w:r>
      <w:r>
        <w:t>tarih ve 44123 sayılı yazısında</w:t>
      </w:r>
      <w:r w:rsidRPr="00305469">
        <w:t xml:space="preserve"> Şirketimiz 2021 yılında kurulan Başkent Elektronik Para ve Ödeme Hizmetleri A.Ş</w:t>
      </w:r>
      <w:r>
        <w:t>.</w:t>
      </w:r>
      <w:r w:rsidRPr="00305469">
        <w:t xml:space="preserve"> Yazılım, Sistem, Teknik Servis, Saha Bakım, Operasyon başta olmak üzere çeşitli </w:t>
      </w:r>
      <w:proofErr w:type="gramStart"/>
      <w:r w:rsidRPr="00305469">
        <w:t>departmanlarıyla</w:t>
      </w:r>
      <w:proofErr w:type="gramEnd"/>
      <w:r w:rsidRPr="00305469">
        <w:t xml:space="preserve"> hizmet veren ve Ankara B</w:t>
      </w:r>
      <w:r>
        <w:t>üyükşehir Belediyesi şirketi olduğu,</w:t>
      </w:r>
    </w:p>
    <w:p w:rsidR="00300A7D" w:rsidRDefault="00300A7D" w:rsidP="00300A7D">
      <w:pPr>
        <w:jc w:val="both"/>
      </w:pPr>
    </w:p>
    <w:p w:rsidR="00300A7D" w:rsidRDefault="00300A7D" w:rsidP="00300A7D">
      <w:pPr>
        <w:jc w:val="both"/>
      </w:pPr>
    </w:p>
    <w:p w:rsidR="00300A7D" w:rsidRDefault="00300A7D" w:rsidP="00300A7D">
      <w:pPr>
        <w:jc w:val="both"/>
      </w:pPr>
    </w:p>
    <w:p w:rsidR="00300A7D" w:rsidRDefault="00300A7D" w:rsidP="00300A7D">
      <w:pPr>
        <w:jc w:val="both"/>
      </w:pPr>
    </w:p>
    <w:p w:rsidR="00300A7D" w:rsidRDefault="00300A7D" w:rsidP="00300A7D">
      <w:pPr>
        <w:jc w:val="both"/>
      </w:pPr>
    </w:p>
    <w:p w:rsidR="00300A7D" w:rsidRDefault="00300A7D" w:rsidP="00300A7D">
      <w:pPr>
        <w:jc w:val="cente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F57233" w:rsidTr="00EE3F40">
        <w:trPr>
          <w:trHeight w:val="1008"/>
        </w:trPr>
        <w:tc>
          <w:tcPr>
            <w:tcW w:w="3510" w:type="dxa"/>
          </w:tcPr>
          <w:p w:rsidR="00F57233" w:rsidRDefault="00F57233" w:rsidP="00EE3F40">
            <w:pPr>
              <w:jc w:val="center"/>
            </w:pPr>
            <w:r>
              <w:t>T.C.</w:t>
            </w:r>
          </w:p>
          <w:p w:rsidR="00F57233" w:rsidRDefault="00F57233" w:rsidP="00EE3F40">
            <w:pPr>
              <w:jc w:val="center"/>
            </w:pPr>
            <w:r>
              <w:t>ANKARA BÜYÜKŞEHİR</w:t>
            </w:r>
          </w:p>
          <w:p w:rsidR="00F57233" w:rsidRDefault="00F57233" w:rsidP="00EE3F40">
            <w:pPr>
              <w:jc w:val="center"/>
            </w:pPr>
            <w:r>
              <w:t>BELEDİYE MECLİSİ</w:t>
            </w:r>
          </w:p>
        </w:tc>
      </w:tr>
    </w:tbl>
    <w:p w:rsidR="00F57233" w:rsidRDefault="00F57233" w:rsidP="00F57233">
      <w:pPr>
        <w:tabs>
          <w:tab w:val="left" w:pos="1935"/>
        </w:tabs>
        <w:jc w:val="both"/>
      </w:pPr>
    </w:p>
    <w:p w:rsidR="00F57233" w:rsidRDefault="00F57233" w:rsidP="00F57233">
      <w:pPr>
        <w:ind w:right="-1"/>
        <w:jc w:val="both"/>
      </w:pPr>
      <w:r>
        <w:t>Karar No: 1491</w:t>
      </w:r>
      <w:r>
        <w:tab/>
        <w:t xml:space="preserve">  </w:t>
      </w:r>
      <w:r>
        <w:tab/>
      </w:r>
      <w:r>
        <w:tab/>
      </w:r>
      <w:r>
        <w:tab/>
        <w:t xml:space="preserve">                                                           07.07.2022        </w:t>
      </w:r>
    </w:p>
    <w:p w:rsidR="00300A7D" w:rsidRDefault="00300A7D" w:rsidP="00300A7D">
      <w:pPr>
        <w:jc w:val="center"/>
      </w:pPr>
    </w:p>
    <w:p w:rsidR="00F57233" w:rsidRDefault="00F57233" w:rsidP="00300A7D">
      <w:pPr>
        <w:jc w:val="center"/>
      </w:pPr>
    </w:p>
    <w:p w:rsidR="00300A7D" w:rsidRDefault="00300A7D" w:rsidP="00300A7D">
      <w:pPr>
        <w:jc w:val="center"/>
      </w:pPr>
      <w:r>
        <w:t>-2-</w:t>
      </w:r>
    </w:p>
    <w:p w:rsidR="00300A7D" w:rsidRDefault="00300A7D" w:rsidP="00300A7D">
      <w:pPr>
        <w:jc w:val="both"/>
      </w:pPr>
    </w:p>
    <w:p w:rsidR="00F57233" w:rsidRDefault="00F57233" w:rsidP="00300A7D">
      <w:pPr>
        <w:jc w:val="both"/>
      </w:pPr>
    </w:p>
    <w:p w:rsidR="00300A7D" w:rsidRPr="00305469" w:rsidRDefault="00300A7D" w:rsidP="00300A7D">
      <w:pPr>
        <w:jc w:val="both"/>
      </w:pPr>
    </w:p>
    <w:p w:rsidR="00300A7D" w:rsidRDefault="00300A7D" w:rsidP="00300A7D">
      <w:pPr>
        <w:ind w:firstLine="709"/>
        <w:jc w:val="both"/>
        <w:rPr>
          <w:rFonts w:eastAsia="Calibri"/>
        </w:rPr>
      </w:pPr>
      <w:r w:rsidRPr="00305469">
        <w:rPr>
          <w:rFonts w:eastAsia="Calibri"/>
        </w:rPr>
        <w:t xml:space="preserve">5216 sayılı Kanunun </w:t>
      </w:r>
      <w:r w:rsidRPr="00E10BCA">
        <w:rPr>
          <w:rFonts w:eastAsia="Calibri"/>
          <w:u w:val="single"/>
        </w:rPr>
        <w:t>Şirket kurulma</w:t>
      </w:r>
      <w:r w:rsidRPr="001606C4">
        <w:rPr>
          <w:rFonts w:eastAsia="Calibri"/>
          <w:u w:val="single"/>
        </w:rPr>
        <w:t>sı</w:t>
      </w:r>
      <w:r w:rsidRPr="00305469">
        <w:rPr>
          <w:rFonts w:eastAsia="Calibri"/>
        </w:rPr>
        <w:t xml:space="preserve"> başlıklı 26'ncı </w:t>
      </w:r>
      <w:r>
        <w:rPr>
          <w:rFonts w:eastAsia="Calibri"/>
        </w:rPr>
        <w:t>M</w:t>
      </w:r>
      <w:r w:rsidRPr="00305469">
        <w:rPr>
          <w:rFonts w:eastAsia="Calibri"/>
        </w:rPr>
        <w:t>addesinde;</w:t>
      </w:r>
      <w:r w:rsidRPr="00305469">
        <w:t xml:space="preserve"> </w:t>
      </w:r>
      <w:r w:rsidRPr="00E10BCA">
        <w:rPr>
          <w:i/>
        </w:rPr>
        <w:t xml:space="preserve">"Büyükşehir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%50'sinden fazlasına ortak olduğu şirketler ile bu şirketlerin %50'sinden fazlasına ortak olduğu şirketlere, </w:t>
      </w:r>
      <w:proofErr w:type="gramStart"/>
      <w:r w:rsidRPr="00E10BCA">
        <w:rPr>
          <w:i/>
        </w:rPr>
        <w:t>8/9/1983</w:t>
      </w:r>
      <w:proofErr w:type="gramEnd"/>
      <w:r w:rsidRPr="00E10BCA">
        <w:rPr>
          <w:i/>
        </w:rPr>
        <w:t xml:space="preserve"> tarihli ve 2886 sayılı Devlet İhale Kanunu hükümlerine tabi olmaksızın belediye meclisince belirlenecek süre ve bedelle işletilmesini devredebilir. Ancak, bu yerlerin belediye şirketlerince üçüncü kişilere devri 2886 sayılı Kanun hükümlerine tabidir."</w:t>
      </w:r>
      <w:r>
        <w:rPr>
          <w:rFonts w:eastAsia="Calibri"/>
        </w:rPr>
        <w:t xml:space="preserve"> denildiği,</w:t>
      </w:r>
    </w:p>
    <w:p w:rsidR="00300A7D" w:rsidRPr="00305469" w:rsidRDefault="00300A7D" w:rsidP="00300A7D">
      <w:pPr>
        <w:ind w:firstLine="709"/>
        <w:jc w:val="both"/>
      </w:pPr>
    </w:p>
    <w:p w:rsidR="00300A7D" w:rsidRDefault="00300A7D" w:rsidP="00300A7D">
      <w:pPr>
        <w:ind w:firstLine="709"/>
        <w:jc w:val="both"/>
      </w:pPr>
      <w:r w:rsidRPr="00305469">
        <w:t>Büyükşehir Belediyesi bünyesinde elektronik ücret toplama sistemine olan ihtiyaç sebebiyle Başkent Elektronik Para ve Ödeme Hizmetleri Anonim Şirketi dünya üzerinde yer alan teknolojik yenilikler ve uyarlanabilecek uygulamaları Ankara Büyükşehir Belediyesi nezdinde ge</w:t>
      </w:r>
      <w:r>
        <w:t>rçekleştirmek üzere kurulduğu,</w:t>
      </w:r>
    </w:p>
    <w:p w:rsidR="00300A7D" w:rsidRPr="00305469" w:rsidRDefault="00300A7D" w:rsidP="00300A7D">
      <w:pPr>
        <w:ind w:firstLine="709"/>
        <w:jc w:val="both"/>
      </w:pPr>
    </w:p>
    <w:p w:rsidR="00300A7D" w:rsidRDefault="00300A7D" w:rsidP="00300A7D">
      <w:pPr>
        <w:ind w:firstLine="709"/>
        <w:jc w:val="both"/>
      </w:pPr>
      <w:r w:rsidRPr="00305469">
        <w:t>Büyükşehir Belediyesi ve iştiraki olarak belediyenin ulaşım altyapısı (EÜTS donanım, yazılım,</w:t>
      </w:r>
      <w:r>
        <w:t xml:space="preserve"> </w:t>
      </w:r>
      <w:r w:rsidRPr="00305469">
        <w:t>vb.) hizmetlerinin daha etkin ve verimli olarak sü</w:t>
      </w:r>
      <w:r>
        <w:t>rdürülmesine imkân sağlayacağı,</w:t>
      </w:r>
    </w:p>
    <w:p w:rsidR="00300A7D" w:rsidRPr="00305469" w:rsidRDefault="00300A7D" w:rsidP="00300A7D">
      <w:pPr>
        <w:ind w:firstLine="709"/>
        <w:jc w:val="both"/>
      </w:pPr>
    </w:p>
    <w:p w:rsidR="00300A7D" w:rsidRDefault="00300A7D" w:rsidP="00300A7D">
      <w:pPr>
        <w:ind w:firstLine="709"/>
        <w:jc w:val="both"/>
      </w:pPr>
      <w:r w:rsidRPr="00305469">
        <w:t>Elektronik ücret toplama sisteminde kullanılan tüm kaynakların mülkiyetinin Büyükşehir Belediyesi ve bağlı ortaklarında olması durumunda verilen hizmetin kalitesi artacağı gibi etkin ve ver</w:t>
      </w:r>
      <w:r>
        <w:t>imli olarak hizmet sunulacağı,</w:t>
      </w:r>
    </w:p>
    <w:p w:rsidR="00300A7D" w:rsidRDefault="00300A7D" w:rsidP="00300A7D">
      <w:pPr>
        <w:ind w:firstLine="709"/>
        <w:jc w:val="both"/>
      </w:pPr>
    </w:p>
    <w:p w:rsidR="00300A7D" w:rsidRPr="00305469" w:rsidRDefault="00300A7D" w:rsidP="00300A7D">
      <w:pPr>
        <w:ind w:firstLine="709"/>
        <w:jc w:val="both"/>
      </w:pPr>
      <w:r w:rsidRPr="00305469">
        <w:t xml:space="preserve">EGO Genel Müdürlüğüne ait EÜTS sisteminin işletilmesinin 5216 sayılı Büyükşehir Belediyesi Kanunu'nun 26 </w:t>
      </w:r>
      <w:r>
        <w:t>M</w:t>
      </w:r>
      <w:r w:rsidRPr="00305469">
        <w:t>addesi uyarınca en az 10 yıl süre ile belirlenecek bedel karşılığında</w:t>
      </w:r>
      <w:r>
        <w:t xml:space="preserve"> ilgili şirket</w:t>
      </w:r>
      <w:r w:rsidRPr="00305469">
        <w:t xml:space="preserve"> tarafından yürütülmesi </w:t>
      </w:r>
      <w:r>
        <w:t>uygun olacağı,</w:t>
      </w:r>
    </w:p>
    <w:p w:rsidR="00300A7D" w:rsidRDefault="00300A7D" w:rsidP="00300A7D">
      <w:pPr>
        <w:ind w:firstLine="709"/>
        <w:jc w:val="both"/>
      </w:pPr>
    </w:p>
    <w:p w:rsidR="00953D18" w:rsidRPr="00953D18" w:rsidRDefault="00300A7D" w:rsidP="00300A7D">
      <w:pPr>
        <w:ind w:firstLine="709"/>
        <w:jc w:val="both"/>
      </w:pPr>
      <w:r>
        <w:t>Bu nedenle;</w:t>
      </w:r>
      <w:r w:rsidRPr="00305469">
        <w:t xml:space="preserve"> EGO Genel müdürlüğüne ait ücret toplama sisteminin (EÜTS) 10 yıl süre ile kart dolum ve manyetik bilet satışlarından bankaya yatırılan gelirin (KD</w:t>
      </w:r>
      <w:r>
        <w:t xml:space="preserve">V </w:t>
      </w:r>
      <w:proofErr w:type="gramStart"/>
      <w:r>
        <w:t>dahil</w:t>
      </w:r>
      <w:proofErr w:type="gramEnd"/>
      <w:r>
        <w:t xml:space="preserve"> ) %</w:t>
      </w:r>
      <w:r w:rsidRPr="00305469">
        <w:t xml:space="preserve">2,15'i karşılığında işletilmesi işinin Başkent Elektronik Para ve Ödeme Hizmetleri A.Ş. tarafından yapılması ve işin yürütülmesine ilişkin </w:t>
      </w:r>
      <w:r>
        <w:t xml:space="preserve">hazırlanan ve ekte sunulan </w:t>
      </w:r>
      <w:r w:rsidRPr="00305469">
        <w:t>protokolün imzalanması için EGO Genel Müdürlüğüne yetki verilmesi</w:t>
      </w:r>
      <w:r>
        <w:t xml:space="preserve">ne </w:t>
      </w:r>
      <w:r w:rsidR="00953D18" w:rsidRPr="00953D18">
        <w:t xml:space="preserve">ilişkin </w:t>
      </w:r>
      <w:r w:rsidR="00F9008B">
        <w:t>Hukuk ve Tarifeler</w:t>
      </w:r>
      <w:r w:rsidR="007934E8" w:rsidRPr="00953D18">
        <w:t xml:space="preserve"> </w:t>
      </w:r>
      <w:r w:rsidR="00953D18" w:rsidRPr="00953D18">
        <w:t>Komisyonu Raporu oylanarak oy</w:t>
      </w:r>
      <w:r w:rsidR="0018191C">
        <w:t xml:space="preserve">birliği </w:t>
      </w:r>
      <w:r w:rsidR="00953D18" w:rsidRPr="00953D18">
        <w:t>ile kabul edildi.</w:t>
      </w:r>
    </w:p>
    <w:p w:rsidR="00FF4CB0" w:rsidRDefault="00FF4CB0" w:rsidP="00BE194A">
      <w:pPr>
        <w:ind w:firstLine="709"/>
        <w:jc w:val="both"/>
      </w:pPr>
    </w:p>
    <w:p w:rsidR="00C035F3" w:rsidRDefault="00C035F3" w:rsidP="000F0810">
      <w:pPr>
        <w:jc w:val="both"/>
      </w:pPr>
    </w:p>
    <w:p w:rsidR="004A7B38" w:rsidRDefault="004A7B38"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036310">
        <w:trPr>
          <w:trHeight w:val="594"/>
          <w:jc w:val="center"/>
        </w:trPr>
        <w:tc>
          <w:tcPr>
            <w:tcW w:w="3147" w:type="dxa"/>
          </w:tcPr>
          <w:tbl>
            <w:tblPr>
              <w:tblW w:w="9356" w:type="dxa"/>
              <w:jc w:val="center"/>
              <w:tblLook w:val="04A0"/>
            </w:tblPr>
            <w:tblGrid>
              <w:gridCol w:w="3147"/>
              <w:gridCol w:w="3147"/>
              <w:gridCol w:w="3062"/>
            </w:tblGrid>
            <w:tr w:rsidR="00F57233" w:rsidTr="00EE3F40">
              <w:trPr>
                <w:trHeight w:val="594"/>
                <w:jc w:val="center"/>
              </w:trPr>
              <w:tc>
                <w:tcPr>
                  <w:tcW w:w="3147" w:type="dxa"/>
                  <w:hideMark/>
                </w:tcPr>
                <w:p w:rsidR="00F57233" w:rsidRDefault="00F57233" w:rsidP="00EE3F40">
                  <w:pPr>
                    <w:autoSpaceDE w:val="0"/>
                    <w:autoSpaceDN w:val="0"/>
                    <w:adjustRightInd w:val="0"/>
                    <w:jc w:val="center"/>
                    <w:rPr>
                      <w:color w:val="000000"/>
                    </w:rPr>
                  </w:pPr>
                  <w:r>
                    <w:rPr>
                      <w:color w:val="000000"/>
                    </w:rPr>
                    <w:t>Fatih ÜNAL</w:t>
                  </w:r>
                </w:p>
                <w:p w:rsidR="00F57233" w:rsidRDefault="00F57233" w:rsidP="00EE3F40">
                  <w:pPr>
                    <w:autoSpaceDE w:val="0"/>
                    <w:autoSpaceDN w:val="0"/>
                    <w:adjustRightInd w:val="0"/>
                    <w:jc w:val="center"/>
                    <w:rPr>
                      <w:color w:val="000000"/>
                    </w:rPr>
                  </w:pPr>
                  <w:r>
                    <w:rPr>
                      <w:color w:val="000000"/>
                    </w:rPr>
                    <w:t>Meclis 1. Başkan V.</w:t>
                  </w:r>
                </w:p>
              </w:tc>
              <w:tc>
                <w:tcPr>
                  <w:tcW w:w="3147" w:type="dxa"/>
                  <w:vAlign w:val="center"/>
                  <w:hideMark/>
                </w:tcPr>
                <w:p w:rsidR="00F57233" w:rsidRDefault="00F57233" w:rsidP="00EE3F40">
                  <w:pPr>
                    <w:autoSpaceDE w:val="0"/>
                    <w:autoSpaceDN w:val="0"/>
                    <w:adjustRightInd w:val="0"/>
                    <w:jc w:val="center"/>
                    <w:rPr>
                      <w:color w:val="000000"/>
                    </w:rPr>
                  </w:pPr>
                  <w:r>
                    <w:rPr>
                      <w:color w:val="000000"/>
                    </w:rPr>
                    <w:t>Tuğba AYDOS</w:t>
                  </w:r>
                </w:p>
                <w:p w:rsidR="00F57233" w:rsidRDefault="00F57233" w:rsidP="00EE3F4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F57233" w:rsidRDefault="00F57233" w:rsidP="00EE3F40">
                  <w:pPr>
                    <w:tabs>
                      <w:tab w:val="left" w:pos="3268"/>
                    </w:tabs>
                    <w:jc w:val="center"/>
                    <w:rPr>
                      <w:color w:val="000000"/>
                    </w:rPr>
                  </w:pPr>
                  <w:r>
                    <w:rPr>
                      <w:color w:val="000000"/>
                    </w:rPr>
                    <w:t>Harun ÖZTÜRK</w:t>
                  </w:r>
                </w:p>
                <w:p w:rsidR="00F57233" w:rsidRDefault="00F57233" w:rsidP="00EE3F4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3147" w:type="dxa"/>
            <w:vAlign w:val="center"/>
          </w:tcPr>
          <w:p w:rsidR="002844A5" w:rsidRDefault="002844A5" w:rsidP="00036310">
            <w:pPr>
              <w:tabs>
                <w:tab w:val="left" w:pos="3268"/>
              </w:tabs>
              <w:jc w:val="center"/>
              <w:rPr>
                <w:color w:val="000000"/>
              </w:rPr>
            </w:pPr>
          </w:p>
        </w:tc>
        <w:tc>
          <w:tcPr>
            <w:tcW w:w="3062" w:type="dxa"/>
            <w:vAlign w:val="center"/>
          </w:tcPr>
          <w:p w:rsidR="002844A5" w:rsidRDefault="002844A5" w:rsidP="00036310">
            <w:pPr>
              <w:autoSpaceDE w:val="0"/>
              <w:autoSpaceDN w:val="0"/>
              <w:adjustRightInd w:val="0"/>
              <w:jc w:val="center"/>
              <w:rPr>
                <w:color w:val="000000"/>
              </w:rPr>
            </w:pPr>
          </w:p>
        </w:tc>
      </w:tr>
    </w:tbl>
    <w:p w:rsidR="00F056A8" w:rsidRDefault="00F056A8" w:rsidP="004A4FD1">
      <w:pPr>
        <w:jc w:val="both"/>
      </w:pPr>
    </w:p>
    <w:p w:rsidR="004A4FD1" w:rsidRDefault="004A4FD1" w:rsidP="004A4FD1">
      <w:pPr>
        <w:jc w:val="both"/>
      </w:pPr>
    </w:p>
    <w:p w:rsidR="004A4FD1" w:rsidRDefault="004A4FD1" w:rsidP="004A4FD1"/>
    <w:p w:rsidR="004A4FD1" w:rsidRDefault="004A4FD1" w:rsidP="004A4FD1">
      <w:pPr>
        <w:jc w:val="center"/>
      </w:pPr>
      <w:r>
        <w:lastRenderedPageBreak/>
        <w:t>T.C.</w:t>
      </w:r>
    </w:p>
    <w:p w:rsidR="004A4FD1" w:rsidRDefault="004A4FD1" w:rsidP="004A4FD1">
      <w:pPr>
        <w:jc w:val="center"/>
      </w:pPr>
      <w:r>
        <w:t>ANKARA BÜYÜKŞEHİR BELEDİYE MECLİSİ</w:t>
      </w:r>
    </w:p>
    <w:p w:rsidR="004A4FD1" w:rsidRDefault="004A4FD1" w:rsidP="004A4FD1">
      <w:pPr>
        <w:jc w:val="center"/>
      </w:pPr>
      <w:r>
        <w:t>Hukuk ve Tarifeler Komisyonu Raporu</w:t>
      </w:r>
    </w:p>
    <w:p w:rsidR="004A4FD1" w:rsidRDefault="004A4FD1" w:rsidP="004A4FD1">
      <w:pPr>
        <w:jc w:val="center"/>
      </w:pPr>
    </w:p>
    <w:p w:rsidR="004A4FD1" w:rsidRDefault="004A4FD1" w:rsidP="004A4FD1">
      <w:pPr>
        <w:jc w:val="center"/>
      </w:pPr>
      <w:r>
        <w:t xml:space="preserve">Rapor No: 30          </w:t>
      </w:r>
      <w:r>
        <w:tab/>
      </w:r>
      <w:r>
        <w:tab/>
      </w:r>
      <w:r>
        <w:tab/>
      </w:r>
      <w:r>
        <w:tab/>
      </w:r>
      <w:r>
        <w:tab/>
      </w:r>
      <w:r>
        <w:tab/>
      </w:r>
      <w:r>
        <w:tab/>
        <w:t xml:space="preserve">                      21.06.2022</w:t>
      </w:r>
    </w:p>
    <w:p w:rsidR="004A4FD1" w:rsidRDefault="004A4FD1" w:rsidP="004A4FD1"/>
    <w:p w:rsidR="004A4FD1" w:rsidRDefault="004A4FD1" w:rsidP="004A4FD1">
      <w:pPr>
        <w:jc w:val="center"/>
      </w:pPr>
    </w:p>
    <w:p w:rsidR="004A4FD1" w:rsidRDefault="004A4FD1" w:rsidP="004A4FD1">
      <w:pPr>
        <w:jc w:val="center"/>
      </w:pPr>
      <w:r>
        <w:t>BÜYÜKŞEHİR BELEDİYE MECLİSİ BAŞKANLIĞINA</w:t>
      </w:r>
    </w:p>
    <w:p w:rsidR="004A4FD1" w:rsidRDefault="004A4FD1" w:rsidP="004A4FD1"/>
    <w:p w:rsidR="004A4FD1" w:rsidRDefault="004A4FD1" w:rsidP="004A4FD1"/>
    <w:p w:rsidR="004A4FD1" w:rsidRDefault="004A4FD1" w:rsidP="004A4FD1"/>
    <w:p w:rsidR="004A4FD1" w:rsidRDefault="004A4FD1" w:rsidP="004A4FD1">
      <w:pPr>
        <w:pStyle w:val="GvdeMetniGirintisi"/>
        <w:tabs>
          <w:tab w:val="left" w:pos="9356"/>
        </w:tabs>
        <w:ind w:firstLine="709"/>
      </w:pPr>
      <w:r w:rsidRPr="00D43EBD">
        <w:t xml:space="preserve">EGO Genel Müdürlüğü uhdesindeki ücret toplama sisteminin Belediyemiz iştirakine devrine </w:t>
      </w:r>
      <w:r>
        <w:t>ilişkin Hukuk ve Tarifeler Komisyonunun 24.05.2022 tarihli ve 17 sayılı raporu ile komisyonumuza yeniden havale edilen dosya incelendi.</w:t>
      </w:r>
    </w:p>
    <w:p w:rsidR="004A4FD1" w:rsidRDefault="004A4FD1" w:rsidP="004A4FD1">
      <w:pPr>
        <w:pStyle w:val="GvdeMetniGirintisi"/>
        <w:tabs>
          <w:tab w:val="left" w:pos="9356"/>
        </w:tabs>
        <w:ind w:firstLine="709"/>
      </w:pPr>
    </w:p>
    <w:p w:rsidR="004A4FD1" w:rsidRDefault="004A4FD1" w:rsidP="004A4FD1">
      <w:pPr>
        <w:ind w:firstLine="709"/>
        <w:jc w:val="both"/>
      </w:pPr>
      <w:r>
        <w:t xml:space="preserve">Komisyonumuzca yapılan incelemeler neticesinde; </w:t>
      </w:r>
      <w:r w:rsidRPr="00305469">
        <w:t>5216 sayılı Büyükşehir Belediyesi Kanununun Büyükşehir ve İlçe Belediyelerinin</w:t>
      </w:r>
      <w:r>
        <w:t xml:space="preserve"> </w:t>
      </w:r>
      <w:r w:rsidRPr="00305469">
        <w:t>gör</w:t>
      </w:r>
      <w:r>
        <w:t xml:space="preserve">ev ve sorumlulukları başlıklı 7’nci maddesinin f bendinde" </w:t>
      </w:r>
      <w:r w:rsidRPr="00305469">
        <w:t>ulaşım ve toplu taşıma</w:t>
      </w:r>
      <w:r>
        <w:t xml:space="preserve"> </w:t>
      </w:r>
      <w:r w:rsidRPr="00305469">
        <w:t xml:space="preserve">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ve p bendinde "Büyükşehir içindeki toplu taşıma hizmetlerini yürütmek ve bu amaçla gerekli tesisleri kurmak, kurdurmak, işletmek veya işlettirmek, büyükşehir sınırları içindeki kara ve denizde taksi ve servis araçları </w:t>
      </w:r>
      <w:proofErr w:type="gramStart"/>
      <w:r w:rsidRPr="00305469">
        <w:t>dahil</w:t>
      </w:r>
      <w:proofErr w:type="gramEnd"/>
      <w:r w:rsidRPr="00305469">
        <w:t xml:space="preserve"> toplu taşıma araçlarına ruhsat vermek. (Ek cümle: </w:t>
      </w:r>
      <w:proofErr w:type="gramStart"/>
      <w:r w:rsidRPr="00305469">
        <w:t>16/5/2018</w:t>
      </w:r>
      <w:proofErr w:type="gramEnd"/>
      <w:r w:rsidRPr="00305469">
        <w:t>-7144/14 md.) Büyükşehir içindeki toplu taşıma hatlarıyla ilgili olarak; şehir merkezine olan uzaklık, nüfus ve hattı kullanan sayısı kriterleri esas alınarak tespit edilecek hatlarla ilgili toplu taşıma hizmetlerinin işlettirilmesine karar vermek" Büyükşehir Belediyesinin</w:t>
      </w:r>
      <w:r>
        <w:t xml:space="preserve"> görevleri arasında sayıldığı,</w:t>
      </w:r>
    </w:p>
    <w:p w:rsidR="004A4FD1" w:rsidRPr="00305469" w:rsidRDefault="004A4FD1" w:rsidP="004A4FD1">
      <w:pPr>
        <w:ind w:firstLine="709"/>
        <w:jc w:val="both"/>
      </w:pPr>
    </w:p>
    <w:p w:rsidR="004A4FD1" w:rsidRDefault="004A4FD1" w:rsidP="004A4FD1">
      <w:pPr>
        <w:ind w:firstLine="709"/>
        <w:jc w:val="both"/>
      </w:pPr>
      <w:r w:rsidRPr="00305469">
        <w:t>Ankara Büyükşehir Belediyesi sınırlarında Büyükşehir Belediyesinin görevleri arasında sayılan toplu ulaşım hizmeti Kurul</w:t>
      </w:r>
      <w:r>
        <w:t>uşumuzca yerine getirildiği,</w:t>
      </w:r>
    </w:p>
    <w:p w:rsidR="004A4FD1" w:rsidRPr="00305469" w:rsidRDefault="004A4FD1" w:rsidP="004A4FD1">
      <w:pPr>
        <w:ind w:firstLine="709"/>
        <w:jc w:val="both"/>
      </w:pPr>
    </w:p>
    <w:p w:rsidR="004A4FD1" w:rsidRDefault="004A4FD1" w:rsidP="004A4FD1">
      <w:pPr>
        <w:ind w:firstLine="709"/>
        <w:jc w:val="both"/>
      </w:pPr>
      <w:r w:rsidRPr="00305469">
        <w:t>Toplu Ulaşım hizmetinin ayrılmaz bir parçası olan ücret toplama sistemi (E.Ü.T.S.) kuruluşumuz ile E-KENT Teknoloji ve Ödeme Sistemleri Sanayi ve Ticaret A.Ş. arasında 20.03.2013 tarihinde imzalanan 10 yıl süreli sözleşme kapsamında yürütülmektedir. Sözleşme 21.03.2023 tarihinde sona erecek olup firma ile tasfiye ve kabul süreçlerine i</w:t>
      </w:r>
      <w:r>
        <w:t>lişkin çalışmalara başlanıldığı,</w:t>
      </w:r>
    </w:p>
    <w:p w:rsidR="004A4FD1" w:rsidRPr="00305469" w:rsidRDefault="004A4FD1" w:rsidP="004A4FD1">
      <w:pPr>
        <w:ind w:firstLine="709"/>
        <w:jc w:val="both"/>
      </w:pPr>
    </w:p>
    <w:p w:rsidR="004A4FD1" w:rsidRDefault="004A4FD1" w:rsidP="004A4FD1">
      <w:pPr>
        <w:ind w:firstLine="709"/>
        <w:jc w:val="both"/>
      </w:pPr>
      <w:r w:rsidRPr="00305469">
        <w:t xml:space="preserve">Mevcut elektronik ücret toplama sistemi halihazırda 3180 adet </w:t>
      </w:r>
      <w:proofErr w:type="spellStart"/>
      <w:r w:rsidRPr="00305469">
        <w:t>validatör</w:t>
      </w:r>
      <w:proofErr w:type="spellEnd"/>
      <w:r w:rsidRPr="00305469">
        <w:t xml:space="preserve">, 489 bayi, 198 </w:t>
      </w:r>
      <w:proofErr w:type="spellStart"/>
      <w:r w:rsidRPr="00305469">
        <w:t>kiosk</w:t>
      </w:r>
      <w:proofErr w:type="spellEnd"/>
      <w:r w:rsidRPr="00305469">
        <w:t xml:space="preserve">, 30 gişe ve 5 adet işlem merkezi ile günlük kullanımı </w:t>
      </w:r>
      <w:proofErr w:type="gramStart"/>
      <w:r w:rsidRPr="00305469">
        <w:t>1.5</w:t>
      </w:r>
      <w:proofErr w:type="gramEnd"/>
      <w:r w:rsidRPr="00305469">
        <w:t xml:space="preserve"> milyonu aşkın 8 m</w:t>
      </w:r>
      <w:r>
        <w:t xml:space="preserve">ilyon civarı toplam </w:t>
      </w:r>
      <w:proofErr w:type="spellStart"/>
      <w:r>
        <w:t>Ankarakart'ın</w:t>
      </w:r>
      <w:proofErr w:type="spellEnd"/>
      <w:r w:rsidRPr="00305469">
        <w:t xml:space="preserve"> bulunduğu büyük bir sistemdir. Teknolojik gelişmelerin hız kazandığı ve bu tarz elektronik ödeme sistemlerinin hızla yayıldığı bir ortamda mevcut personel yapısı ve ekonomik koşullar ile sistemin tam olarak işletilmesi ve geliştirilmesi açısından hizmet alımı veya gelir paylaşımı suretiyle yeniden işletilmesin</w:t>
      </w:r>
      <w:r>
        <w:t>in sağlanması zorunlu olduğu,</w:t>
      </w:r>
    </w:p>
    <w:p w:rsidR="004A4FD1" w:rsidRPr="00305469" w:rsidRDefault="004A4FD1" w:rsidP="004A4FD1">
      <w:pPr>
        <w:ind w:firstLine="709"/>
        <w:jc w:val="both"/>
      </w:pPr>
    </w:p>
    <w:p w:rsidR="004A4FD1" w:rsidRDefault="004A4FD1" w:rsidP="004A4FD1">
      <w:pPr>
        <w:ind w:firstLine="709"/>
        <w:jc w:val="both"/>
      </w:pPr>
      <w:r w:rsidRPr="00305469">
        <w:t>Başkent Elektronik Para ve Ödeme Hizmetleri A.Ş.'</w:t>
      </w:r>
      <w:proofErr w:type="spellStart"/>
      <w:r w:rsidRPr="00305469">
        <w:t>nin</w:t>
      </w:r>
      <w:proofErr w:type="spellEnd"/>
      <w:r w:rsidRPr="00305469">
        <w:t xml:space="preserve"> 12.05.2022 </w:t>
      </w:r>
      <w:r>
        <w:t>tarih ve 44123 sayılı yazısında</w:t>
      </w:r>
      <w:r w:rsidRPr="00305469">
        <w:t xml:space="preserve"> Şirketimiz 2021 yılında kurulan Başkent Elektronik Para ve Ödeme Hizmetleri A.Ş</w:t>
      </w:r>
      <w:r>
        <w:t>.</w:t>
      </w:r>
      <w:r w:rsidRPr="00305469">
        <w:t xml:space="preserve"> Yazılım, Sistem, Teknik Servis, Saha Bakım, Operasyon başta olmak üzere çeşitli </w:t>
      </w:r>
      <w:proofErr w:type="gramStart"/>
      <w:r w:rsidRPr="00305469">
        <w:t>departmanlarıyla</w:t>
      </w:r>
      <w:proofErr w:type="gramEnd"/>
      <w:r w:rsidRPr="00305469">
        <w:t xml:space="preserve"> hizmet veren ve Ankara B</w:t>
      </w:r>
      <w:r>
        <w:t>üyükşehir Belediyesi şirketi olduğu,</w:t>
      </w:r>
    </w:p>
    <w:p w:rsidR="004A4FD1" w:rsidRDefault="004A4FD1" w:rsidP="004A4FD1">
      <w:pPr>
        <w:jc w:val="both"/>
      </w:pPr>
    </w:p>
    <w:p w:rsidR="004A4FD1" w:rsidRDefault="004A4FD1" w:rsidP="004A4FD1">
      <w:pPr>
        <w:jc w:val="both"/>
      </w:pPr>
    </w:p>
    <w:p w:rsidR="004A4FD1" w:rsidRDefault="004A4FD1" w:rsidP="004A4FD1">
      <w:pPr>
        <w:jc w:val="both"/>
      </w:pPr>
    </w:p>
    <w:p w:rsidR="004A4FD1" w:rsidRDefault="004A4FD1" w:rsidP="004A4FD1">
      <w:pPr>
        <w:jc w:val="both"/>
      </w:pPr>
    </w:p>
    <w:p w:rsidR="004A4FD1" w:rsidRDefault="004A4FD1" w:rsidP="004A4FD1">
      <w:pPr>
        <w:jc w:val="center"/>
      </w:pPr>
    </w:p>
    <w:p w:rsidR="004A4FD1" w:rsidRDefault="004A4FD1" w:rsidP="004A4FD1">
      <w:pPr>
        <w:jc w:val="center"/>
      </w:pPr>
    </w:p>
    <w:p w:rsidR="004A4FD1" w:rsidRDefault="004A4FD1" w:rsidP="004A4FD1">
      <w:pPr>
        <w:jc w:val="center"/>
      </w:pPr>
      <w:r>
        <w:t>T.C.</w:t>
      </w:r>
    </w:p>
    <w:p w:rsidR="004A4FD1" w:rsidRDefault="004A4FD1" w:rsidP="004A4FD1">
      <w:pPr>
        <w:jc w:val="center"/>
      </w:pPr>
      <w:r>
        <w:t>ANKARA BÜYÜKŞEHİR BELEDİYE MECLİSİ</w:t>
      </w:r>
    </w:p>
    <w:p w:rsidR="004A4FD1" w:rsidRDefault="004A4FD1" w:rsidP="004A4FD1">
      <w:pPr>
        <w:jc w:val="center"/>
      </w:pPr>
      <w:r>
        <w:t>Hukuk ve Tarifeler Komisyonu Raporu</w:t>
      </w:r>
    </w:p>
    <w:p w:rsidR="004A4FD1" w:rsidRDefault="004A4FD1" w:rsidP="004A4FD1">
      <w:pPr>
        <w:jc w:val="center"/>
      </w:pPr>
    </w:p>
    <w:p w:rsidR="004A4FD1" w:rsidRDefault="004A4FD1" w:rsidP="004A4FD1">
      <w:pPr>
        <w:jc w:val="center"/>
      </w:pPr>
      <w:r>
        <w:t xml:space="preserve">Rapor No: 30          </w:t>
      </w:r>
      <w:r>
        <w:tab/>
      </w:r>
      <w:r>
        <w:tab/>
      </w:r>
      <w:r>
        <w:tab/>
      </w:r>
      <w:r>
        <w:tab/>
      </w:r>
      <w:r>
        <w:tab/>
      </w:r>
      <w:r>
        <w:tab/>
      </w:r>
      <w:r>
        <w:tab/>
        <w:t xml:space="preserve">                      21.06.2022</w:t>
      </w:r>
    </w:p>
    <w:p w:rsidR="004A4FD1" w:rsidRDefault="004A4FD1" w:rsidP="004A4FD1">
      <w:pPr>
        <w:jc w:val="center"/>
      </w:pPr>
      <w:r>
        <w:t>-2-</w:t>
      </w:r>
    </w:p>
    <w:p w:rsidR="004A4FD1" w:rsidRPr="00305469" w:rsidRDefault="004A4FD1" w:rsidP="004A4FD1">
      <w:pPr>
        <w:jc w:val="both"/>
      </w:pPr>
    </w:p>
    <w:p w:rsidR="004A4FD1" w:rsidRDefault="004A4FD1" w:rsidP="004A4FD1">
      <w:pPr>
        <w:ind w:firstLine="709"/>
        <w:jc w:val="both"/>
        <w:rPr>
          <w:rFonts w:eastAsia="Calibri"/>
        </w:rPr>
      </w:pPr>
      <w:r w:rsidRPr="00305469">
        <w:rPr>
          <w:rFonts w:eastAsia="Calibri"/>
        </w:rPr>
        <w:t xml:space="preserve">5216 sayılı Kanunun </w:t>
      </w:r>
      <w:r w:rsidRPr="00E10BCA">
        <w:rPr>
          <w:rFonts w:eastAsia="Calibri"/>
          <w:u w:val="single"/>
        </w:rPr>
        <w:t>Şirket kurulma</w:t>
      </w:r>
      <w:r w:rsidRPr="001606C4">
        <w:rPr>
          <w:rFonts w:eastAsia="Calibri"/>
          <w:u w:val="single"/>
        </w:rPr>
        <w:t>sı</w:t>
      </w:r>
      <w:r w:rsidRPr="00305469">
        <w:rPr>
          <w:rFonts w:eastAsia="Calibri"/>
        </w:rPr>
        <w:t xml:space="preserve"> başlıklı 26'ncı maddesinde;</w:t>
      </w:r>
      <w:r w:rsidRPr="00305469">
        <w:t xml:space="preserve"> </w:t>
      </w:r>
      <w:r w:rsidRPr="00E10BCA">
        <w:rPr>
          <w:i/>
        </w:rPr>
        <w:t xml:space="preserve">"Büyükşehir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%50'sinden fazlasına ortak olduğu şirketler ile bu şirketlerin %50'sinden fazlasına ortak olduğu şirketlere, </w:t>
      </w:r>
      <w:proofErr w:type="gramStart"/>
      <w:r w:rsidRPr="00E10BCA">
        <w:rPr>
          <w:i/>
        </w:rPr>
        <w:t>8/9/1983</w:t>
      </w:r>
      <w:proofErr w:type="gramEnd"/>
      <w:r w:rsidRPr="00E10BCA">
        <w:rPr>
          <w:i/>
        </w:rPr>
        <w:t xml:space="preserve"> tarihli ve 2886 sayılı Devlet İhale Kanunu hükümlerine tabi olmaksızın belediye meclisince belirlenecek süre ve bedelle işletilmesini devredebilir. Ancak, bu yerlerin belediye şirketlerince üçüncü kişilere devri 2886 sayılı Kanun hükümlerine tabidir."</w:t>
      </w:r>
      <w:r>
        <w:rPr>
          <w:rFonts w:eastAsia="Calibri"/>
        </w:rPr>
        <w:t xml:space="preserve"> denildiği,</w:t>
      </w:r>
    </w:p>
    <w:p w:rsidR="004A4FD1" w:rsidRPr="00305469" w:rsidRDefault="004A4FD1" w:rsidP="004A4FD1">
      <w:pPr>
        <w:ind w:firstLine="709"/>
        <w:jc w:val="both"/>
      </w:pPr>
    </w:p>
    <w:p w:rsidR="004A4FD1" w:rsidRDefault="004A4FD1" w:rsidP="004A4FD1">
      <w:pPr>
        <w:ind w:firstLine="709"/>
        <w:jc w:val="both"/>
      </w:pPr>
      <w:r w:rsidRPr="00305469">
        <w:t>Büyükşehir Belediyesi bünyesinde elektronik ücret toplama sistemine olan ihtiyaç sebebiyle Başkent Elektronik Para ve Ödeme Hizmetleri Anonim Şirketi dünya üzerinde yer alan teknolojik yenilikler ve uyarlanabilecek uygulamaları Ankara Büyükşehir Belediyesi nezdinde ge</w:t>
      </w:r>
      <w:r>
        <w:t>rçekleştirmek üzere kurulduğu,</w:t>
      </w:r>
    </w:p>
    <w:p w:rsidR="004A4FD1" w:rsidRPr="00305469" w:rsidRDefault="004A4FD1" w:rsidP="004A4FD1">
      <w:pPr>
        <w:ind w:firstLine="709"/>
        <w:jc w:val="both"/>
      </w:pPr>
    </w:p>
    <w:p w:rsidR="004A4FD1" w:rsidRDefault="004A4FD1" w:rsidP="004A4FD1">
      <w:pPr>
        <w:ind w:firstLine="709"/>
        <w:jc w:val="both"/>
      </w:pPr>
      <w:r w:rsidRPr="00305469">
        <w:t>Büyükşehir Belediyesi ve iştiraki olarak belediyenin ulaşım altyapısı (EÜTS donanım, yazılım,</w:t>
      </w:r>
      <w:r>
        <w:t xml:space="preserve"> </w:t>
      </w:r>
      <w:r w:rsidRPr="00305469">
        <w:t>vb.) hizmetlerinin daha etkin ve verimli olarak sü</w:t>
      </w:r>
      <w:r>
        <w:t>rdürülmesine imkân sağlayacağı,</w:t>
      </w:r>
    </w:p>
    <w:p w:rsidR="004A4FD1" w:rsidRPr="00305469" w:rsidRDefault="004A4FD1" w:rsidP="004A4FD1">
      <w:pPr>
        <w:ind w:firstLine="709"/>
        <w:jc w:val="both"/>
      </w:pPr>
    </w:p>
    <w:p w:rsidR="004A4FD1" w:rsidRDefault="004A4FD1" w:rsidP="004A4FD1">
      <w:pPr>
        <w:ind w:firstLine="709"/>
        <w:jc w:val="both"/>
      </w:pPr>
      <w:r w:rsidRPr="00305469">
        <w:t>Elektronik ücret toplama sisteminde kullanılan tüm kaynakların mülkiyetinin Büyükşehir Belediyesi ve bağlı ortaklarında olması durumunda verilen hizmetin kalitesi artacağı gibi etkin ve ver</w:t>
      </w:r>
      <w:r>
        <w:t>imli olarak hizmet sunulacağı,</w:t>
      </w:r>
    </w:p>
    <w:p w:rsidR="004A4FD1" w:rsidRDefault="004A4FD1" w:rsidP="004A4FD1">
      <w:pPr>
        <w:ind w:firstLine="709"/>
        <w:jc w:val="both"/>
      </w:pPr>
    </w:p>
    <w:p w:rsidR="004A4FD1" w:rsidRPr="00305469" w:rsidRDefault="004A4FD1" w:rsidP="004A4FD1">
      <w:pPr>
        <w:ind w:firstLine="709"/>
        <w:jc w:val="both"/>
      </w:pPr>
      <w:r w:rsidRPr="00305469">
        <w:t>EGO Genel Müdürlüğüne ait EÜTS sisteminin işletilmesinin 5216 sayılı Büyükşehir Belediyesi Kanunu'nun 26 maddesi uyarınca en az 10 yıl süre ile belirlenecek bedel karşılığında</w:t>
      </w:r>
      <w:r>
        <w:t xml:space="preserve"> ilgili şirket</w:t>
      </w:r>
      <w:r w:rsidRPr="00305469">
        <w:t xml:space="preserve"> tarafından yürütülmesi </w:t>
      </w:r>
      <w:r>
        <w:t>uygun olacağı,</w:t>
      </w:r>
    </w:p>
    <w:p w:rsidR="004A4FD1" w:rsidRDefault="004A4FD1" w:rsidP="004A4FD1">
      <w:pPr>
        <w:ind w:firstLine="709"/>
        <w:jc w:val="both"/>
      </w:pPr>
    </w:p>
    <w:p w:rsidR="004A4FD1" w:rsidRPr="00305469" w:rsidRDefault="004A4FD1" w:rsidP="004A4FD1">
      <w:pPr>
        <w:ind w:firstLine="709"/>
        <w:jc w:val="both"/>
      </w:pPr>
      <w:r>
        <w:t>Bu nedenle;</w:t>
      </w:r>
      <w:r w:rsidRPr="00305469">
        <w:t xml:space="preserve"> EGO Genel müdürlüğüne ait ücret toplama sisteminin (EÜTS) 10 yıl süre ile kart dolum ve manyetik bilet satışlarından bankaya yatırılan gelirin (KD</w:t>
      </w:r>
      <w:r>
        <w:t xml:space="preserve">V </w:t>
      </w:r>
      <w:proofErr w:type="gramStart"/>
      <w:r>
        <w:t>dahil</w:t>
      </w:r>
      <w:proofErr w:type="gramEnd"/>
      <w:r>
        <w:t xml:space="preserve"> ) %</w:t>
      </w:r>
      <w:r w:rsidRPr="00305469">
        <w:t xml:space="preserve">2,15'i karşılığında işletilmesi işinin Başkent Elektronik Para ve Ödeme Hizmetleri A.Ş. tarafından yapılması ve işin yürütülmesine ilişkin </w:t>
      </w:r>
      <w:r>
        <w:t xml:space="preserve">hazırlanan ve ekte sunulan </w:t>
      </w:r>
      <w:r w:rsidRPr="00305469">
        <w:t>protokolün imzalanması için EGO Genel Müdürlüğüne yetki verilmesi</w:t>
      </w:r>
      <w:r>
        <w:t xml:space="preserve"> komisyonumuzca uygun görülmüştür.</w:t>
      </w:r>
    </w:p>
    <w:p w:rsidR="004A4FD1" w:rsidRDefault="004A4FD1" w:rsidP="004A4FD1">
      <w:pPr>
        <w:pStyle w:val="GvdeMetni"/>
        <w:tabs>
          <w:tab w:val="left" w:pos="9356"/>
        </w:tabs>
        <w:ind w:firstLine="709"/>
        <w:contextualSpacing/>
      </w:pPr>
    </w:p>
    <w:p w:rsidR="004A4FD1" w:rsidRDefault="004A4FD1" w:rsidP="004A4FD1">
      <w:pPr>
        <w:pStyle w:val="GvdeMetni"/>
        <w:tabs>
          <w:tab w:val="left" w:pos="9356"/>
        </w:tabs>
        <w:ind w:firstLine="709"/>
        <w:contextualSpacing/>
      </w:pPr>
      <w:r>
        <w:t>Raporumuz Büyükşehir Belediye Meclisinin onayına arz olunur.</w:t>
      </w:r>
    </w:p>
    <w:p w:rsidR="004A4FD1" w:rsidRDefault="004A4FD1" w:rsidP="004A4FD1">
      <w:pPr>
        <w:pStyle w:val="GvdeMetni"/>
        <w:tabs>
          <w:tab w:val="left" w:pos="9356"/>
        </w:tabs>
        <w:contextualSpacing/>
      </w:pPr>
    </w:p>
    <w:p w:rsidR="004A4FD1" w:rsidRDefault="004A4FD1" w:rsidP="004A4FD1">
      <w:pPr>
        <w:tabs>
          <w:tab w:val="left" w:pos="709"/>
          <w:tab w:val="left" w:pos="3828"/>
          <w:tab w:val="left" w:pos="4678"/>
          <w:tab w:val="left" w:pos="5387"/>
          <w:tab w:val="left" w:pos="9356"/>
        </w:tabs>
        <w:jc w:val="both"/>
      </w:pPr>
    </w:p>
    <w:tbl>
      <w:tblPr>
        <w:tblpPr w:leftFromText="141" w:rightFromText="141" w:vertAnchor="text" w:tblpX="108" w:tblpY="-74"/>
        <w:tblW w:w="9413" w:type="dxa"/>
        <w:shd w:val="clear" w:color="auto" w:fill="FFFFFF" w:themeFill="background1"/>
        <w:tblLook w:val="04A0"/>
      </w:tblPr>
      <w:tblGrid>
        <w:gridCol w:w="3064"/>
        <w:gridCol w:w="3173"/>
        <w:gridCol w:w="3176"/>
      </w:tblGrid>
      <w:tr w:rsidR="004A4FD1" w:rsidTr="004A4FD1">
        <w:trPr>
          <w:trHeight w:val="792"/>
        </w:trPr>
        <w:tc>
          <w:tcPr>
            <w:tcW w:w="3064" w:type="dxa"/>
            <w:shd w:val="clear" w:color="auto" w:fill="FFFFFF" w:themeFill="background1"/>
            <w:hideMark/>
          </w:tcPr>
          <w:p w:rsidR="004A4FD1" w:rsidRDefault="004A4FD1" w:rsidP="00E51742">
            <w:pPr>
              <w:jc w:val="center"/>
            </w:pPr>
            <w:r>
              <w:t>Ercan KINACI</w:t>
            </w:r>
          </w:p>
          <w:p w:rsidR="004A4FD1" w:rsidRDefault="004A4FD1" w:rsidP="00E51742">
            <w:pPr>
              <w:jc w:val="center"/>
            </w:pPr>
            <w:r>
              <w:t>Komisyon Başkanı</w:t>
            </w:r>
          </w:p>
        </w:tc>
        <w:tc>
          <w:tcPr>
            <w:tcW w:w="3173" w:type="dxa"/>
            <w:shd w:val="clear" w:color="auto" w:fill="FFFFFF" w:themeFill="background1"/>
            <w:hideMark/>
          </w:tcPr>
          <w:p w:rsidR="004A4FD1" w:rsidRDefault="004A4FD1" w:rsidP="00E51742">
            <w:pPr>
              <w:jc w:val="center"/>
            </w:pPr>
            <w:r>
              <w:t>Abdullah Emin TEKİN</w:t>
            </w:r>
          </w:p>
          <w:p w:rsidR="004A4FD1" w:rsidRDefault="004A4FD1" w:rsidP="00E51742">
            <w:pPr>
              <w:jc w:val="center"/>
            </w:pPr>
            <w:r>
              <w:t>Başkan Vekili</w:t>
            </w:r>
          </w:p>
        </w:tc>
        <w:tc>
          <w:tcPr>
            <w:tcW w:w="3176" w:type="dxa"/>
            <w:shd w:val="clear" w:color="auto" w:fill="FFFFFF" w:themeFill="background1"/>
            <w:hideMark/>
          </w:tcPr>
          <w:p w:rsidR="004A4FD1" w:rsidRDefault="004A4FD1" w:rsidP="00E51742">
            <w:pPr>
              <w:jc w:val="center"/>
            </w:pPr>
            <w:proofErr w:type="spellStart"/>
            <w:r>
              <w:t>Aysun</w:t>
            </w:r>
            <w:proofErr w:type="spellEnd"/>
            <w:r>
              <w:t xml:space="preserve"> Liman YAŞACAN</w:t>
            </w:r>
          </w:p>
          <w:p w:rsidR="004A4FD1" w:rsidRDefault="004A4FD1" w:rsidP="00E51742">
            <w:pPr>
              <w:jc w:val="center"/>
            </w:pPr>
            <w:r>
              <w:t>Üye</w:t>
            </w:r>
          </w:p>
        </w:tc>
      </w:tr>
      <w:tr w:rsidR="004A4FD1" w:rsidTr="004A4FD1">
        <w:trPr>
          <w:trHeight w:val="792"/>
        </w:trPr>
        <w:tc>
          <w:tcPr>
            <w:tcW w:w="3064" w:type="dxa"/>
            <w:shd w:val="clear" w:color="auto" w:fill="FFFFFF" w:themeFill="background1"/>
            <w:vAlign w:val="center"/>
            <w:hideMark/>
          </w:tcPr>
          <w:p w:rsidR="004A4FD1" w:rsidRDefault="004A4FD1" w:rsidP="00E51742">
            <w:pPr>
              <w:jc w:val="center"/>
            </w:pPr>
            <w:r>
              <w:t>Burak KOCA</w:t>
            </w:r>
          </w:p>
          <w:p w:rsidR="004A4FD1" w:rsidRDefault="004A4FD1" w:rsidP="00E51742">
            <w:pPr>
              <w:jc w:val="center"/>
            </w:pPr>
            <w:r>
              <w:t>Üye</w:t>
            </w:r>
          </w:p>
        </w:tc>
        <w:tc>
          <w:tcPr>
            <w:tcW w:w="3173" w:type="dxa"/>
            <w:shd w:val="clear" w:color="auto" w:fill="FFFFFF" w:themeFill="background1"/>
            <w:vAlign w:val="center"/>
            <w:hideMark/>
          </w:tcPr>
          <w:p w:rsidR="004A4FD1" w:rsidRDefault="004A4FD1" w:rsidP="00E51742">
            <w:pPr>
              <w:jc w:val="center"/>
            </w:pPr>
            <w:r>
              <w:t>Edip BALCI</w:t>
            </w:r>
          </w:p>
          <w:p w:rsidR="004A4FD1" w:rsidRDefault="004A4FD1" w:rsidP="00E51742">
            <w:pPr>
              <w:jc w:val="center"/>
            </w:pPr>
            <w:r>
              <w:t>Üye</w:t>
            </w:r>
          </w:p>
        </w:tc>
        <w:tc>
          <w:tcPr>
            <w:tcW w:w="3176" w:type="dxa"/>
            <w:shd w:val="clear" w:color="auto" w:fill="FFFFFF" w:themeFill="background1"/>
            <w:vAlign w:val="center"/>
            <w:hideMark/>
          </w:tcPr>
          <w:p w:rsidR="004A4FD1" w:rsidRDefault="004A4FD1" w:rsidP="00E51742">
            <w:pPr>
              <w:jc w:val="center"/>
            </w:pPr>
            <w:r>
              <w:t>Mehmet ÜÇÖZ</w:t>
            </w:r>
          </w:p>
          <w:p w:rsidR="004A4FD1" w:rsidRDefault="004A4FD1" w:rsidP="00E51742">
            <w:pPr>
              <w:jc w:val="center"/>
            </w:pPr>
            <w:r>
              <w:t>Üye</w:t>
            </w:r>
          </w:p>
        </w:tc>
      </w:tr>
      <w:tr w:rsidR="004A4FD1" w:rsidTr="004A4FD1">
        <w:trPr>
          <w:trHeight w:val="792"/>
        </w:trPr>
        <w:tc>
          <w:tcPr>
            <w:tcW w:w="3064" w:type="dxa"/>
            <w:shd w:val="clear" w:color="auto" w:fill="FFFFFF" w:themeFill="background1"/>
            <w:vAlign w:val="bottom"/>
            <w:hideMark/>
          </w:tcPr>
          <w:p w:rsidR="004A4FD1" w:rsidRDefault="004A4FD1" w:rsidP="00E51742">
            <w:pPr>
              <w:jc w:val="center"/>
            </w:pPr>
            <w:r>
              <w:t>Ömer KOÇAK</w:t>
            </w:r>
          </w:p>
          <w:p w:rsidR="004A4FD1" w:rsidRDefault="004A4FD1" w:rsidP="00E51742">
            <w:pPr>
              <w:jc w:val="center"/>
            </w:pPr>
            <w:r>
              <w:t>Üye</w:t>
            </w:r>
          </w:p>
        </w:tc>
        <w:tc>
          <w:tcPr>
            <w:tcW w:w="3173" w:type="dxa"/>
            <w:shd w:val="clear" w:color="auto" w:fill="FFFFFF" w:themeFill="background1"/>
            <w:vAlign w:val="bottom"/>
            <w:hideMark/>
          </w:tcPr>
          <w:p w:rsidR="004A4FD1" w:rsidRDefault="004A4FD1" w:rsidP="00E51742">
            <w:pPr>
              <w:jc w:val="center"/>
            </w:pPr>
            <w:r>
              <w:t>Haydar DEMİR</w:t>
            </w:r>
          </w:p>
          <w:p w:rsidR="004A4FD1" w:rsidRDefault="004A4FD1" w:rsidP="00E51742">
            <w:pPr>
              <w:jc w:val="center"/>
            </w:pPr>
            <w:r>
              <w:t>Üye</w:t>
            </w:r>
          </w:p>
        </w:tc>
        <w:tc>
          <w:tcPr>
            <w:tcW w:w="3176" w:type="dxa"/>
            <w:shd w:val="clear" w:color="auto" w:fill="FFFFFF" w:themeFill="background1"/>
            <w:vAlign w:val="bottom"/>
            <w:hideMark/>
          </w:tcPr>
          <w:p w:rsidR="004A4FD1" w:rsidRDefault="004A4FD1" w:rsidP="00E51742">
            <w:pPr>
              <w:jc w:val="center"/>
            </w:pPr>
            <w:r>
              <w:t>Selim ÇIRPANOĞLU</w:t>
            </w:r>
          </w:p>
          <w:p w:rsidR="004A4FD1" w:rsidRDefault="004A4FD1" w:rsidP="00E51742">
            <w:pPr>
              <w:jc w:val="center"/>
            </w:pPr>
            <w:r>
              <w:t>Üye</w:t>
            </w:r>
          </w:p>
        </w:tc>
      </w:tr>
    </w:tbl>
    <w:p w:rsidR="004A4FD1" w:rsidRPr="00605302" w:rsidRDefault="004A4FD1" w:rsidP="004A4FD1"/>
    <w:sectPr w:rsidR="004A4FD1" w:rsidRPr="00605302" w:rsidSect="00300A7D">
      <w:pgSz w:w="11906" w:h="16838"/>
      <w:pgMar w:top="851"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065F"/>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28"/>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5F2F"/>
    <w:rsid w:val="002E7449"/>
    <w:rsid w:val="002F0C75"/>
    <w:rsid w:val="002F16F9"/>
    <w:rsid w:val="002F31A0"/>
    <w:rsid w:val="002F35A9"/>
    <w:rsid w:val="002F41D2"/>
    <w:rsid w:val="002F43A2"/>
    <w:rsid w:val="002F58F8"/>
    <w:rsid w:val="002F615C"/>
    <w:rsid w:val="002F7083"/>
    <w:rsid w:val="002F7D1F"/>
    <w:rsid w:val="00300A7D"/>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4FD1"/>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A7F"/>
    <w:rsid w:val="00512BF2"/>
    <w:rsid w:val="00512E0A"/>
    <w:rsid w:val="0051523D"/>
    <w:rsid w:val="00516168"/>
    <w:rsid w:val="005167C4"/>
    <w:rsid w:val="00517536"/>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3B8D"/>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0E3B"/>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68CB"/>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233"/>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2525-C08D-40FB-B240-5C570F1B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10079</Characters>
  <Application>Microsoft Office Word</Application>
  <DocSecurity>0</DocSecurity>
  <Lines>83</Lines>
  <Paragraphs>22</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2022-06-10T11:28:00Z</cp:lastPrinted>
  <dcterms:created xsi:type="dcterms:W3CDTF">2022-07-07T17:20:00Z</dcterms:created>
  <dcterms:modified xsi:type="dcterms:W3CDTF">2022-07-08T09:13:00Z</dcterms:modified>
</cp:coreProperties>
</file>